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0" w:rightFromText="180" w:horzAnchor="margin" w:tblpXSpec="center" w:tblpY="-1125"/>
        <w:tblW w:w="9210" w:type="dxa"/>
        <w:tblLayout w:type="fixed"/>
        <w:tblCellMar>
          <w:top w:w="144" w:type="dxa"/>
          <w:left w:w="115" w:type="dxa"/>
          <w:bottom w:w="144" w:type="dxa"/>
          <w:right w:w="115" w:type="dxa"/>
        </w:tblCellMar>
        <w:tblLook w:val="0600" w:firstRow="0" w:lastRow="0" w:firstColumn="0" w:lastColumn="0" w:noHBand="1" w:noVBand="1"/>
      </w:tblPr>
      <w:tblGrid>
        <w:gridCol w:w="1276"/>
        <w:gridCol w:w="5722"/>
        <w:gridCol w:w="2212"/>
      </w:tblGrid>
      <w:tr w:rsidR="000F64AC" w14:paraId="3956E67B" w14:textId="77777777" w:rsidTr="00D26C4E">
        <w:tc>
          <w:tcPr>
            <w:tcW w:w="1276" w:type="dxa"/>
            <w:tcBorders>
              <w:top w:val="nil"/>
              <w:left w:val="nil"/>
              <w:bottom w:val="single" w:sz="4" w:space="0" w:color="002060"/>
              <w:right w:val="nil"/>
            </w:tcBorders>
            <w:shd w:val="clear" w:color="auto" w:fill="C45911" w:themeFill="accent2" w:themeFillShade="BF"/>
            <w:vAlign w:val="bottom"/>
            <w:hideMark/>
          </w:tcPr>
          <w:p w14:paraId="41E73785" w14:textId="77777777" w:rsidR="000F64AC" w:rsidRDefault="00E446E1" w:rsidP="00D26C4E">
            <w:pPr>
              <w:pStyle w:val="Header"/>
              <w:spacing w:line="256" w:lineRule="auto"/>
              <w:jc w:val="center"/>
              <w:rPr>
                <w:rFonts w:ascii="Bahnschrift" w:eastAsiaTheme="minorEastAsia" w:hAnsi="Bahnschrift"/>
                <w:caps/>
                <w:color w:val="FFFFFF" w:themeColor="background1"/>
                <w:sz w:val="20"/>
                <w:szCs w:val="20"/>
              </w:rPr>
            </w:pPr>
            <w:r>
              <w:rPr>
                <w:rFonts w:eastAsia="Times New Roman"/>
                <w:b/>
                <w:noProof/>
                <w:sz w:val="20"/>
                <w:lang w:val="id-ID" w:eastAsia="id-ID" w:bidi="ar-SA"/>
              </w:rPr>
              <w:drawing>
                <wp:anchor distT="0" distB="0" distL="114300" distR="114300" simplePos="0" relativeHeight="251655168" behindDoc="0" locked="0" layoutInCell="1" allowOverlap="1" wp14:anchorId="29B893DB" wp14:editId="6D98CF67">
                  <wp:simplePos x="0" y="0"/>
                  <wp:positionH relativeFrom="column">
                    <wp:posOffset>66675</wp:posOffset>
                  </wp:positionH>
                  <wp:positionV relativeFrom="paragraph">
                    <wp:posOffset>47625</wp:posOffset>
                  </wp:positionV>
                  <wp:extent cx="582295" cy="782955"/>
                  <wp:effectExtent l="19050" t="0" r="27305" b="245745"/>
                  <wp:wrapNone/>
                  <wp:docPr id="2" name="Picture 2"/>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9" cstate="print">
                            <a:extLst>
                              <a:ext uri="{28A0092B-C50C-407E-A947-70E740481C1C}">
                                <a14:useLocalDpi xmlns:a14="http://schemas.microsoft.com/office/drawing/2010/main" val="0"/>
                              </a:ext>
                            </a:extLst>
                          </a:blip>
                          <a:stretch>
                            <a:fillRect/>
                          </a:stretch>
                        </pic:blipFill>
                        <pic:spPr>
                          <a:xfrm>
                            <a:off x="0" y="0"/>
                            <a:ext cx="582295" cy="782955"/>
                          </a:xfrm>
                          <a:prstGeom prst="roundRect">
                            <a:avLst>
                              <a:gd name="adj" fmla="val 8594"/>
                            </a:avLst>
                          </a:prstGeom>
                          <a:solidFill>
                            <a:srgbClr val="FFFFFF">
                              <a:shade val="85000"/>
                            </a:srgbClr>
                          </a:solidFill>
                          <a:ln>
                            <a:noFill/>
                          </a:ln>
                          <a:effectLst>
                            <a:reflection blurRad="12700" stA="38000" endPos="28000" dist="5000" dir="5400000" sy="-100000" algn="bl" rotWithShape="0"/>
                          </a:effectLst>
                        </pic:spPr>
                      </pic:pic>
                    </a:graphicData>
                  </a:graphic>
                  <wp14:sizeRelH relativeFrom="margin">
                    <wp14:pctWidth>0</wp14:pctWidth>
                  </wp14:sizeRelH>
                  <wp14:sizeRelV relativeFrom="margin">
                    <wp14:pctHeight>0</wp14:pctHeight>
                  </wp14:sizeRelV>
                </wp:anchor>
              </w:drawing>
            </w:r>
          </w:p>
        </w:tc>
        <w:tc>
          <w:tcPr>
            <w:tcW w:w="7934" w:type="dxa"/>
            <w:gridSpan w:val="2"/>
            <w:tcBorders>
              <w:top w:val="nil"/>
              <w:left w:val="nil"/>
              <w:bottom w:val="single" w:sz="4" w:space="0" w:color="002060"/>
              <w:right w:val="nil"/>
            </w:tcBorders>
            <w:shd w:val="clear" w:color="auto" w:fill="C45911" w:themeFill="accent2" w:themeFillShade="BF"/>
            <w:vAlign w:val="bottom"/>
          </w:tcPr>
          <w:p w14:paraId="5E49B837" w14:textId="77777777" w:rsidR="000F64AC" w:rsidRDefault="000F64AC" w:rsidP="00D26C4E">
            <w:pPr>
              <w:pStyle w:val="Header"/>
              <w:spacing w:line="256" w:lineRule="auto"/>
              <w:jc w:val="center"/>
              <w:rPr>
                <w:rFonts w:ascii="Bahnschrift" w:eastAsiaTheme="minorEastAsia" w:hAnsi="Bahnschrift"/>
                <w:b/>
                <w:bCs/>
                <w:caps/>
                <w:color w:val="FFFFFF" w:themeColor="background1"/>
                <w:sz w:val="52"/>
                <w:szCs w:val="52"/>
              </w:rPr>
            </w:pPr>
            <w:r>
              <w:rPr>
                <w:rFonts w:ascii="Bahnschrift" w:hAnsi="Bahnschrift"/>
                <w:b/>
                <w:bCs/>
                <w:caps/>
                <w:color w:val="FFFFFF" w:themeColor="background1"/>
                <w:sz w:val="52"/>
                <w:szCs w:val="52"/>
              </w:rPr>
              <w:t>JOurnal la EDUSCI</w:t>
            </w:r>
          </w:p>
          <w:p w14:paraId="4D2CFA16" w14:textId="77777777" w:rsidR="000F64AC" w:rsidRDefault="000F64AC" w:rsidP="00D26C4E">
            <w:pPr>
              <w:pStyle w:val="Header"/>
              <w:spacing w:line="256" w:lineRule="auto"/>
              <w:jc w:val="center"/>
              <w:rPr>
                <w:rFonts w:ascii="Bahnschrift" w:hAnsi="Bahnschrift"/>
                <w:b/>
                <w:bCs/>
                <w:caps/>
                <w:color w:val="FFFFFF" w:themeColor="background1"/>
                <w:sz w:val="24"/>
                <w:szCs w:val="24"/>
              </w:rPr>
            </w:pPr>
          </w:p>
          <w:p w14:paraId="5182EB3E" w14:textId="12644D29" w:rsidR="000F64AC" w:rsidRDefault="00BA1CF8" w:rsidP="00D26C4E">
            <w:pPr>
              <w:pStyle w:val="Header"/>
              <w:spacing w:line="256" w:lineRule="auto"/>
              <w:jc w:val="right"/>
              <w:rPr>
                <w:rFonts w:ascii="Bahnschrift" w:hAnsi="Bahnschrift"/>
                <w:i/>
                <w:iCs/>
                <w:caps/>
                <w:color w:val="FFFFFF" w:themeColor="background1"/>
                <w:sz w:val="18"/>
                <w:szCs w:val="18"/>
              </w:rPr>
            </w:pPr>
            <w:r>
              <w:rPr>
                <w:rFonts w:ascii="Bahnschrift" w:hAnsi="Bahnschrift"/>
                <w:i/>
                <w:iCs/>
                <w:caps/>
                <w:color w:val="FFFFFF" w:themeColor="background1"/>
                <w:sz w:val="18"/>
                <w:szCs w:val="18"/>
              </w:rPr>
              <w:t>Vol. 0</w:t>
            </w:r>
            <w:r w:rsidR="00DC0665">
              <w:rPr>
                <w:rFonts w:ascii="Bahnschrift" w:hAnsi="Bahnschrift"/>
                <w:i/>
                <w:iCs/>
                <w:caps/>
                <w:color w:val="FFFFFF" w:themeColor="background1"/>
                <w:sz w:val="18"/>
                <w:szCs w:val="18"/>
              </w:rPr>
              <w:t>7</w:t>
            </w:r>
            <w:r w:rsidR="000F64AC">
              <w:rPr>
                <w:rFonts w:ascii="Bahnschrift" w:hAnsi="Bahnschrift"/>
                <w:i/>
                <w:iCs/>
                <w:caps/>
                <w:color w:val="FFFFFF" w:themeColor="background1"/>
                <w:sz w:val="18"/>
                <w:szCs w:val="18"/>
              </w:rPr>
              <w:t xml:space="preserve">, </w:t>
            </w:r>
            <w:r w:rsidR="000F64AC">
              <w:rPr>
                <w:rFonts w:ascii="Bahnschrift" w:hAnsi="Bahnschrift"/>
                <w:i/>
                <w:iCs/>
                <w:caps/>
                <w:color w:val="FFFFFF" w:themeColor="background1"/>
                <w:sz w:val="18"/>
                <w:szCs w:val="18"/>
                <w:lang w:val="id-ID"/>
              </w:rPr>
              <w:t>I</w:t>
            </w:r>
            <w:r>
              <w:rPr>
                <w:rFonts w:ascii="Bahnschrift" w:hAnsi="Bahnschrift"/>
                <w:i/>
                <w:iCs/>
                <w:caps/>
                <w:color w:val="FFFFFF" w:themeColor="background1"/>
                <w:sz w:val="18"/>
                <w:szCs w:val="18"/>
              </w:rPr>
              <w:t>ssue 0</w:t>
            </w:r>
            <w:r w:rsidR="00293308">
              <w:rPr>
                <w:rFonts w:ascii="Bahnschrift" w:hAnsi="Bahnschrift"/>
                <w:i/>
                <w:iCs/>
                <w:caps/>
                <w:color w:val="FFFFFF" w:themeColor="background1"/>
                <w:sz w:val="18"/>
                <w:szCs w:val="18"/>
                <w:lang w:val="en-US"/>
              </w:rPr>
              <w:t>4</w:t>
            </w:r>
            <w:r>
              <w:rPr>
                <w:rFonts w:ascii="Bahnschrift" w:hAnsi="Bahnschrift"/>
                <w:i/>
                <w:iCs/>
                <w:caps/>
                <w:color w:val="FFFFFF" w:themeColor="background1"/>
                <w:sz w:val="18"/>
                <w:szCs w:val="18"/>
              </w:rPr>
              <w:t xml:space="preserve"> </w:t>
            </w:r>
            <w:r w:rsidR="008F43F4">
              <w:rPr>
                <w:rFonts w:ascii="Bahnschrift" w:hAnsi="Bahnschrift"/>
                <w:i/>
                <w:iCs/>
                <w:caps/>
                <w:color w:val="FFFFFF" w:themeColor="background1"/>
                <w:sz w:val="18"/>
                <w:szCs w:val="18"/>
              </w:rPr>
              <w:t>(</w:t>
            </w:r>
            <w:r w:rsidR="00AE0FAB">
              <w:rPr>
                <w:rFonts w:ascii="Bahnschrift" w:hAnsi="Bahnschrift"/>
                <w:i/>
                <w:iCs/>
                <w:caps/>
                <w:color w:val="FFFFFF" w:themeColor="background1"/>
                <w:sz w:val="18"/>
                <w:szCs w:val="18"/>
              </w:rPr>
              <w:t>91</w:t>
            </w:r>
            <w:r w:rsidR="00D40928">
              <w:rPr>
                <w:rFonts w:ascii="Bahnschrift" w:hAnsi="Bahnschrift"/>
                <w:i/>
                <w:iCs/>
                <w:caps/>
                <w:color w:val="FFFFFF" w:themeColor="background1"/>
                <w:sz w:val="18"/>
                <w:szCs w:val="18"/>
              </w:rPr>
              <w:t>3-</w:t>
            </w:r>
            <w:r w:rsidR="004038CB">
              <w:rPr>
                <w:rFonts w:ascii="Bahnschrift" w:hAnsi="Bahnschrift"/>
                <w:i/>
                <w:iCs/>
                <w:caps/>
                <w:color w:val="FFFFFF" w:themeColor="background1"/>
                <w:sz w:val="18"/>
                <w:szCs w:val="18"/>
              </w:rPr>
              <w:t>924</w:t>
            </w:r>
            <w:r>
              <w:rPr>
                <w:rFonts w:ascii="Bahnschrift" w:hAnsi="Bahnschrift"/>
                <w:i/>
                <w:iCs/>
                <w:caps/>
                <w:color w:val="FFFFFF" w:themeColor="background1"/>
                <w:sz w:val="18"/>
                <w:szCs w:val="18"/>
              </w:rPr>
              <w:t>), 202</w:t>
            </w:r>
            <w:r w:rsidR="00DC0665">
              <w:rPr>
                <w:rFonts w:ascii="Bahnschrift" w:hAnsi="Bahnschrift"/>
                <w:i/>
                <w:iCs/>
                <w:caps/>
                <w:color w:val="FFFFFF" w:themeColor="background1"/>
                <w:sz w:val="18"/>
                <w:szCs w:val="18"/>
              </w:rPr>
              <w:t>6</w:t>
            </w:r>
          </w:p>
          <w:p w14:paraId="26878DC8" w14:textId="4240BAA1" w:rsidR="003B047B" w:rsidRPr="00DC0665" w:rsidRDefault="003B047B" w:rsidP="00BF13F9">
            <w:pPr>
              <w:pStyle w:val="Header"/>
              <w:jc w:val="right"/>
              <w:rPr>
                <w:rFonts w:ascii="Times New Roman" w:eastAsiaTheme="minorEastAsia" w:hAnsi="Times New Roman" w:cs="Times New Roman"/>
                <w:caps/>
                <w:color w:val="FFFFFF" w:themeColor="background1"/>
                <w:sz w:val="18"/>
                <w:szCs w:val="18"/>
                <w:lang w:val="en-US"/>
              </w:rPr>
            </w:pPr>
            <w:r w:rsidRPr="00BF13F9">
              <w:rPr>
                <w:rFonts w:ascii="Times New Roman" w:hAnsi="Times New Roman" w:cs="Times New Roman"/>
                <w:i/>
                <w:iCs/>
                <w:caps/>
                <w:color w:val="EDEDED" w:themeColor="accent3" w:themeTint="33"/>
                <w:sz w:val="18"/>
                <w:szCs w:val="18"/>
                <w:lang w:val="id-ID"/>
              </w:rPr>
              <w:t xml:space="preserve">DOI: </w:t>
            </w:r>
            <w:r w:rsidR="00812FCA" w:rsidRPr="00BF13F9">
              <w:rPr>
                <w:rFonts w:ascii="Times New Roman" w:hAnsi="Times New Roman" w:cs="Times New Roman"/>
                <w:i/>
                <w:iCs/>
                <w:color w:val="EDEDED" w:themeColor="accent3" w:themeTint="33"/>
                <w:sz w:val="18"/>
                <w:szCs w:val="18"/>
                <w:lang w:val="id-ID"/>
              </w:rPr>
              <w:t>10.37899/journallaedusci.v</w:t>
            </w:r>
            <w:r w:rsidR="00DC0665">
              <w:rPr>
                <w:rFonts w:ascii="Times New Roman" w:hAnsi="Times New Roman" w:cs="Times New Roman"/>
                <w:i/>
                <w:iCs/>
                <w:color w:val="EDEDED" w:themeColor="accent3" w:themeTint="33"/>
                <w:sz w:val="18"/>
                <w:szCs w:val="18"/>
                <w:lang w:val="en-US"/>
              </w:rPr>
              <w:t>7</w:t>
            </w:r>
            <w:r w:rsidR="00812FCA" w:rsidRPr="00BF13F9">
              <w:rPr>
                <w:rFonts w:ascii="Times New Roman" w:hAnsi="Times New Roman" w:cs="Times New Roman"/>
                <w:i/>
                <w:iCs/>
                <w:color w:val="EDEDED" w:themeColor="accent3" w:themeTint="33"/>
                <w:sz w:val="18"/>
                <w:szCs w:val="18"/>
                <w:lang w:val="id-ID"/>
              </w:rPr>
              <w:t>i</w:t>
            </w:r>
            <w:r w:rsidR="00293308">
              <w:rPr>
                <w:rFonts w:ascii="Times New Roman" w:hAnsi="Times New Roman" w:cs="Times New Roman"/>
                <w:i/>
                <w:iCs/>
                <w:color w:val="EDEDED" w:themeColor="accent3" w:themeTint="33"/>
                <w:sz w:val="18"/>
                <w:szCs w:val="18"/>
                <w:lang w:val="en-US"/>
              </w:rPr>
              <w:t>4</w:t>
            </w:r>
            <w:r w:rsidR="00812FCA" w:rsidRPr="00BF13F9">
              <w:rPr>
                <w:rFonts w:ascii="Times New Roman" w:hAnsi="Times New Roman" w:cs="Times New Roman"/>
                <w:i/>
                <w:iCs/>
                <w:color w:val="EDEDED" w:themeColor="accent3" w:themeTint="33"/>
                <w:sz w:val="18"/>
                <w:szCs w:val="18"/>
                <w:lang w:val="id-ID"/>
              </w:rPr>
              <w:t>.</w:t>
            </w:r>
            <w:r w:rsidR="00703B1D">
              <w:rPr>
                <w:rFonts w:ascii="Times New Roman" w:hAnsi="Times New Roman" w:cs="Times New Roman"/>
                <w:i/>
                <w:iCs/>
                <w:color w:val="EDEDED" w:themeColor="accent3" w:themeTint="33"/>
                <w:sz w:val="18"/>
                <w:szCs w:val="18"/>
                <w:lang w:val="en-US"/>
              </w:rPr>
              <w:t>3</w:t>
            </w:r>
            <w:r w:rsidR="00D40928">
              <w:rPr>
                <w:rFonts w:ascii="Times New Roman" w:hAnsi="Times New Roman" w:cs="Times New Roman"/>
                <w:i/>
                <w:iCs/>
                <w:color w:val="EDEDED" w:themeColor="accent3" w:themeTint="33"/>
                <w:sz w:val="18"/>
                <w:szCs w:val="18"/>
                <w:lang w:val="en-US"/>
              </w:rPr>
              <w:t>110</w:t>
            </w:r>
          </w:p>
        </w:tc>
      </w:tr>
      <w:tr w:rsidR="000F64AC" w14:paraId="0645E8EB" w14:textId="77777777" w:rsidTr="00D26C4E">
        <w:trPr>
          <w:trHeight w:hRule="exact" w:val="80"/>
        </w:trPr>
        <w:tc>
          <w:tcPr>
            <w:tcW w:w="6998" w:type="dxa"/>
            <w:gridSpan w:val="2"/>
            <w:tcBorders>
              <w:top w:val="single" w:sz="4" w:space="0" w:color="002060"/>
              <w:left w:val="nil"/>
              <w:bottom w:val="nil"/>
              <w:right w:val="nil"/>
            </w:tcBorders>
            <w:shd w:val="clear" w:color="auto" w:fill="4472C4" w:themeFill="accent1"/>
            <w:tcMar>
              <w:top w:w="0" w:type="dxa"/>
              <w:left w:w="115" w:type="dxa"/>
              <w:bottom w:w="0" w:type="dxa"/>
              <w:right w:w="115" w:type="dxa"/>
            </w:tcMar>
          </w:tcPr>
          <w:p w14:paraId="55D4D8B2" w14:textId="77777777" w:rsidR="000F64AC" w:rsidRDefault="000F64AC" w:rsidP="00D26C4E">
            <w:pPr>
              <w:pStyle w:val="Header"/>
              <w:spacing w:line="256" w:lineRule="auto"/>
              <w:rPr>
                <w:rFonts w:eastAsiaTheme="minorEastAsia"/>
                <w:caps/>
                <w:color w:val="FFFFFF" w:themeColor="background1"/>
                <w:sz w:val="18"/>
                <w:szCs w:val="18"/>
              </w:rPr>
            </w:pPr>
          </w:p>
        </w:tc>
        <w:tc>
          <w:tcPr>
            <w:tcW w:w="2212" w:type="dxa"/>
            <w:tcBorders>
              <w:top w:val="single" w:sz="4" w:space="0" w:color="002060"/>
              <w:left w:val="nil"/>
              <w:bottom w:val="nil"/>
              <w:right w:val="nil"/>
            </w:tcBorders>
            <w:shd w:val="clear" w:color="auto" w:fill="4472C4" w:themeFill="accent1"/>
            <w:tcMar>
              <w:top w:w="0" w:type="dxa"/>
              <w:left w:w="115" w:type="dxa"/>
              <w:bottom w:w="0" w:type="dxa"/>
              <w:right w:w="115" w:type="dxa"/>
            </w:tcMar>
          </w:tcPr>
          <w:p w14:paraId="618A0099" w14:textId="77777777" w:rsidR="000F64AC" w:rsidRDefault="000F64AC" w:rsidP="00D26C4E">
            <w:pPr>
              <w:pStyle w:val="Header"/>
              <w:spacing w:line="256" w:lineRule="auto"/>
              <w:rPr>
                <w:rFonts w:eastAsiaTheme="minorEastAsia"/>
                <w:caps/>
                <w:color w:val="FFFFFF" w:themeColor="background1"/>
                <w:sz w:val="18"/>
                <w:szCs w:val="18"/>
              </w:rPr>
            </w:pPr>
          </w:p>
        </w:tc>
      </w:tr>
    </w:tbl>
    <w:p w14:paraId="6EBEE393" w14:textId="0009A473" w:rsidR="00987715" w:rsidRDefault="00D40928" w:rsidP="00645CB8">
      <w:pPr>
        <w:spacing w:before="120" w:after="120" w:line="240" w:lineRule="auto"/>
        <w:rPr>
          <w:rFonts w:ascii="Times New Roman" w:hAnsi="Times New Roman" w:cs="Times New Roman"/>
          <w:b/>
          <w:sz w:val="28"/>
          <w:szCs w:val="28"/>
          <w:lang w:val="en-US"/>
        </w:rPr>
      </w:pPr>
      <w:bookmarkStart w:id="0" w:name="_heading=h.gjdgxs" w:colFirst="0" w:colLast="0"/>
      <w:bookmarkEnd w:id="0"/>
      <w:r w:rsidRPr="00D40928">
        <w:rPr>
          <w:rFonts w:ascii="Times New Roman" w:hAnsi="Times New Roman" w:cs="Times New Roman"/>
          <w:b/>
          <w:bCs/>
          <w:sz w:val="28"/>
          <w:szCs w:val="28"/>
        </w:rPr>
        <w:t>Implementation of TPACK-Integrated Problem-Based Learning to Improve Students' Higher-Order Thinking Skills on Newton's Laws</w:t>
      </w:r>
    </w:p>
    <w:p w14:paraId="312C80B4" w14:textId="21398802" w:rsidR="0016551B" w:rsidRPr="00987715" w:rsidRDefault="00A93A49" w:rsidP="00645CB8">
      <w:pPr>
        <w:spacing w:before="120" w:after="120" w:line="240" w:lineRule="auto"/>
        <w:rPr>
          <w:rFonts w:ascii="Times New Roman" w:eastAsia="Times New Roman" w:hAnsi="Times New Roman" w:cs="Times New Roman"/>
          <w:b/>
          <w:noProof/>
          <w:lang w:val="id-ID" w:eastAsia="id-ID" w:bidi="ar-SA"/>
        </w:rPr>
      </w:pPr>
      <w:bookmarkStart w:id="1" w:name="_Hlk80196445"/>
      <w:bookmarkStart w:id="2" w:name="_Hlk80192998"/>
      <w:bookmarkStart w:id="3" w:name="_Hlk78384324"/>
      <w:bookmarkStart w:id="4" w:name="_Hlk78382038"/>
      <w:bookmarkStart w:id="5" w:name="_Hlk78378297"/>
      <w:bookmarkStart w:id="6" w:name="_Hlk75366121"/>
      <w:r w:rsidRPr="001D1D11">
        <w:rPr>
          <w:rFonts w:ascii="Times New Roman" w:hAnsi="Times New Roman" w:cs="Times New Roman"/>
          <w:b/>
          <w:i/>
          <w:iCs/>
          <w:noProof/>
          <w:vertAlign w:val="superscript"/>
          <w:lang w:val="id-ID" w:eastAsia="id-ID" w:bidi="ar-SA"/>
        </w:rPr>
        <w:drawing>
          <wp:anchor distT="0" distB="0" distL="114300" distR="114300" simplePos="0" relativeHeight="251662336" behindDoc="1" locked="0" layoutInCell="1" allowOverlap="1" wp14:anchorId="72740829" wp14:editId="3FB2B593">
            <wp:simplePos x="0" y="0"/>
            <wp:positionH relativeFrom="margin">
              <wp:posOffset>5112716</wp:posOffset>
            </wp:positionH>
            <wp:positionV relativeFrom="paragraph">
              <wp:posOffset>168910</wp:posOffset>
            </wp:positionV>
            <wp:extent cx="607695" cy="607695"/>
            <wp:effectExtent l="0" t="0" r="1905" b="190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a edusci.pn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607695" cy="607695"/>
                    </a:xfrm>
                    <a:prstGeom prst="rect">
                      <a:avLst/>
                    </a:prstGeom>
                  </pic:spPr>
                </pic:pic>
              </a:graphicData>
            </a:graphic>
            <wp14:sizeRelH relativeFrom="margin">
              <wp14:pctWidth>0</wp14:pctWidth>
            </wp14:sizeRelH>
            <wp14:sizeRelV relativeFrom="margin">
              <wp14:pctHeight>0</wp14:pctHeight>
            </wp14:sizeRelV>
          </wp:anchor>
        </w:drawing>
      </w:r>
      <w:bookmarkEnd w:id="1"/>
      <w:bookmarkEnd w:id="2"/>
      <w:bookmarkEnd w:id="3"/>
      <w:r w:rsidR="00D40928" w:rsidRPr="00D40928">
        <w:rPr>
          <w:rFonts w:ascii="Times New Roman" w:hAnsi="Times New Roman" w:cs="Times New Roman"/>
          <w:b/>
          <w:bCs/>
          <w:noProof/>
          <w:lang w:eastAsia="id-ID" w:bidi="ar-SA"/>
        </w:rPr>
        <w:t>Meltinur Asqory</w:t>
      </w:r>
      <w:r w:rsidR="00D40928">
        <w:rPr>
          <w:rFonts w:ascii="Times New Roman" w:hAnsi="Times New Roman" w:cs="Times New Roman"/>
          <w:b/>
          <w:bCs/>
          <w:noProof/>
          <w:vertAlign w:val="superscript"/>
          <w:lang w:eastAsia="id-ID" w:bidi="ar-SA"/>
        </w:rPr>
        <w:t>1</w:t>
      </w:r>
      <w:r w:rsidR="00D40928" w:rsidRPr="00D40928">
        <w:rPr>
          <w:rFonts w:ascii="Times New Roman" w:hAnsi="Times New Roman" w:cs="Times New Roman"/>
          <w:b/>
          <w:bCs/>
          <w:noProof/>
          <w:lang w:eastAsia="id-ID" w:bidi="ar-SA"/>
        </w:rPr>
        <w:t>,</w:t>
      </w:r>
      <w:r w:rsidR="00D40928" w:rsidRPr="00D40928">
        <w:rPr>
          <w:rFonts w:ascii="Times New Roman" w:hAnsi="Times New Roman" w:cs="Times New Roman"/>
          <w:b/>
          <w:bCs/>
          <w:noProof/>
          <w:vertAlign w:val="superscript"/>
          <w:lang w:eastAsia="id-ID" w:bidi="ar-SA"/>
        </w:rPr>
        <w:t xml:space="preserve"> </w:t>
      </w:r>
      <w:r w:rsidR="00D40928" w:rsidRPr="00D40928">
        <w:rPr>
          <w:rFonts w:ascii="Times New Roman" w:hAnsi="Times New Roman" w:cs="Times New Roman"/>
          <w:b/>
          <w:bCs/>
          <w:noProof/>
          <w:lang w:eastAsia="id-ID" w:bidi="ar-SA"/>
        </w:rPr>
        <w:t>Fibrika Rahmat Basuki</w:t>
      </w:r>
      <w:r w:rsidR="00D40928">
        <w:rPr>
          <w:rFonts w:ascii="Times New Roman" w:hAnsi="Times New Roman" w:cs="Times New Roman"/>
          <w:b/>
          <w:bCs/>
          <w:noProof/>
          <w:vertAlign w:val="superscript"/>
          <w:lang w:eastAsia="id-ID" w:bidi="ar-SA"/>
        </w:rPr>
        <w:t>1</w:t>
      </w:r>
      <w:r w:rsidR="00D40928" w:rsidRPr="00D40928">
        <w:rPr>
          <w:rFonts w:ascii="Times New Roman" w:hAnsi="Times New Roman" w:cs="Times New Roman"/>
          <w:b/>
          <w:bCs/>
          <w:noProof/>
          <w:lang w:eastAsia="id-ID" w:bidi="ar-SA"/>
        </w:rPr>
        <w:t>, Dedi Sastradika</w:t>
      </w:r>
      <w:r w:rsidR="00D40928">
        <w:rPr>
          <w:rFonts w:ascii="Times New Roman" w:hAnsi="Times New Roman" w:cs="Times New Roman"/>
          <w:b/>
          <w:bCs/>
          <w:noProof/>
          <w:vertAlign w:val="superscript"/>
          <w:lang w:eastAsia="id-ID" w:bidi="ar-SA"/>
        </w:rPr>
        <w:t>1</w:t>
      </w:r>
    </w:p>
    <w:bookmarkEnd w:id="4"/>
    <w:bookmarkEnd w:id="5"/>
    <w:bookmarkEnd w:id="6"/>
    <w:p w14:paraId="5ABB000B" w14:textId="0116971D" w:rsidR="00987715" w:rsidRPr="00A72AF2" w:rsidRDefault="001D1D11" w:rsidP="00A72AF2">
      <w:pPr>
        <w:spacing w:after="120" w:line="240" w:lineRule="auto"/>
        <w:rPr>
          <w:rFonts w:ascii="Times New Roman" w:eastAsia="Times New Roman" w:hAnsi="Times New Roman" w:cs="Times New Roman"/>
          <w:i/>
        </w:rPr>
      </w:pPr>
      <w:r w:rsidRPr="001D1D11">
        <w:rPr>
          <w:i/>
          <w:iCs/>
          <w:vertAlign w:val="superscript"/>
        </w:rPr>
        <w:t>1</w:t>
      </w:r>
      <w:r w:rsidR="00D40928" w:rsidRPr="00D40928">
        <w:rPr>
          <w:rFonts w:ascii="Times New Roman" w:hAnsi="Times New Roman" w:cs="Times New Roman"/>
          <w:i/>
        </w:rPr>
        <w:t>Universitas Islam Negeri Sulthan Thaha Saifuddin Jambi</w:t>
      </w:r>
      <w:r w:rsidR="00D40928">
        <w:rPr>
          <w:rFonts w:ascii="Times New Roman" w:hAnsi="Times New Roman" w:cs="Times New Roman"/>
          <w:i/>
        </w:rPr>
        <w:t>, Indonesia</w:t>
      </w:r>
    </w:p>
    <w:p w14:paraId="052A2E8A" w14:textId="639B9C69" w:rsidR="00D40928" w:rsidRPr="00D40928" w:rsidRDefault="006B1074" w:rsidP="00023DC1">
      <w:pPr>
        <w:spacing w:before="120" w:after="0" w:line="240" w:lineRule="auto"/>
        <w:ind w:right="181"/>
      </w:pPr>
      <w:r w:rsidRPr="004A4721">
        <w:rPr>
          <w:rFonts w:ascii="Times New Roman" w:eastAsia="Times New Roman" w:hAnsi="Times New Roman" w:cs="Times New Roman"/>
          <w:i/>
          <w:color w:val="000000"/>
          <w:lang w:val="id-ID"/>
        </w:rPr>
        <w:t>*</w:t>
      </w:r>
      <w:r w:rsidR="002541EC" w:rsidRPr="004A4721">
        <w:rPr>
          <w:rFonts w:ascii="Times New Roman" w:eastAsia="Times New Roman" w:hAnsi="Times New Roman" w:cs="Times New Roman"/>
          <w:i/>
          <w:color w:val="000000"/>
        </w:rPr>
        <w:t>Corresponding Author</w:t>
      </w:r>
      <w:r w:rsidR="00E75D91" w:rsidRPr="004A4721">
        <w:rPr>
          <w:rFonts w:ascii="Times New Roman" w:eastAsia="Times New Roman" w:hAnsi="Times New Roman" w:cs="Times New Roman"/>
          <w:i/>
          <w:color w:val="000000"/>
        </w:rPr>
        <w:t>:</w:t>
      </w:r>
      <w:r w:rsidR="00D40928">
        <w:rPr>
          <w:rFonts w:ascii="Times New Roman" w:eastAsia="Times New Roman" w:hAnsi="Times New Roman" w:cs="Times New Roman"/>
          <w:i/>
          <w:color w:val="000000"/>
        </w:rPr>
        <w:t xml:space="preserve"> </w:t>
      </w:r>
      <w:r w:rsidR="00D40928" w:rsidRPr="00D40928">
        <w:rPr>
          <w:rFonts w:ascii="Times New Roman" w:eastAsia="Times New Roman" w:hAnsi="Times New Roman" w:cs="Times New Roman"/>
          <w:i/>
          <w:color w:val="000000"/>
        </w:rPr>
        <w:t>Meltinur Asqory</w:t>
      </w:r>
      <w:r w:rsidR="00786A30">
        <w:rPr>
          <w:rFonts w:ascii="Times New Roman" w:eastAsia="Times New Roman" w:hAnsi="Times New Roman" w:cs="Times New Roman"/>
          <w:i/>
          <w:noProof/>
          <w:lang w:val="id-ID" w:eastAsia="id-ID" w:bidi="ar-SA"/>
        </w:rPr>
        <w:br/>
      </w:r>
      <w:r w:rsidR="00786A30">
        <w:rPr>
          <w:rFonts w:ascii="Times New Roman" w:eastAsia="Times New Roman" w:hAnsi="Times New Roman" w:cs="Times New Roman"/>
          <w:i/>
          <w:noProof/>
          <w:lang w:val="en-US" w:eastAsia="id-ID" w:bidi="ar-SA"/>
        </w:rPr>
        <w:t>E-mail:</w:t>
      </w:r>
      <w:r w:rsidR="00786A30" w:rsidRPr="00D40928">
        <w:rPr>
          <w:rFonts w:ascii="Times New Roman" w:hAnsi="Times New Roman" w:cs="Times New Roman"/>
        </w:rPr>
        <w:t xml:space="preserve"> </w:t>
      </w:r>
      <w:hyperlink r:id="rId11" w:history="1">
        <w:r w:rsidR="00D40928" w:rsidRPr="00D40928">
          <w:rPr>
            <w:rStyle w:val="Hyperlink"/>
            <w:rFonts w:ascii="Times New Roman" w:eastAsia="Times New Roman" w:hAnsi="Times New Roman" w:cs="Times New Roman"/>
            <w:i/>
          </w:rPr>
          <w:t>melti241203@gmail.com</w:t>
        </w:r>
      </w:hyperlink>
    </w:p>
    <w:tbl>
      <w:tblPr>
        <w:tblStyle w:val="a"/>
        <w:tblW w:w="8963" w:type="dxa"/>
        <w:tblBorders>
          <w:top w:val="nil"/>
          <w:left w:val="nil"/>
          <w:bottom w:val="single" w:sz="4" w:space="0" w:color="000000"/>
          <w:right w:val="nil"/>
          <w:insideH w:val="nil"/>
          <w:insideV w:val="nil"/>
        </w:tblBorders>
        <w:tblLayout w:type="fixed"/>
        <w:tblLook w:val="0400" w:firstRow="0" w:lastRow="0" w:firstColumn="0" w:lastColumn="0" w:noHBand="0" w:noVBand="1"/>
      </w:tblPr>
      <w:tblGrid>
        <w:gridCol w:w="2662"/>
        <w:gridCol w:w="349"/>
        <w:gridCol w:w="5952"/>
      </w:tblGrid>
      <w:tr w:rsidR="00803108" w14:paraId="4400368C" w14:textId="77777777" w:rsidTr="00645CB8">
        <w:trPr>
          <w:trHeight w:val="2524"/>
        </w:trPr>
        <w:tc>
          <w:tcPr>
            <w:tcW w:w="2662" w:type="dxa"/>
            <w:tcBorders>
              <w:top w:val="single" w:sz="4" w:space="0" w:color="auto"/>
            </w:tcBorders>
          </w:tcPr>
          <w:p w14:paraId="0F02C6D7" w14:textId="77777777" w:rsidR="00803108" w:rsidRDefault="002541EC">
            <w:r>
              <w:t>Article Info</w:t>
            </w:r>
          </w:p>
          <w:p w14:paraId="7892CDE4" w14:textId="77777777" w:rsidR="00803108" w:rsidRDefault="002541EC">
            <w:pPr>
              <w:pBdr>
                <w:top w:val="single" w:sz="4" w:space="1" w:color="000000"/>
                <w:left w:val="nil"/>
                <w:bottom w:val="nil"/>
                <w:right w:val="nil"/>
                <w:between w:val="nil"/>
              </w:pBdr>
              <w:spacing w:line="230" w:lineRule="auto"/>
              <w:rPr>
                <w:i/>
                <w:color w:val="000000"/>
              </w:rPr>
            </w:pPr>
            <w:r>
              <w:rPr>
                <w:i/>
                <w:color w:val="000000"/>
              </w:rPr>
              <w:t xml:space="preserve">Article history: </w:t>
            </w:r>
          </w:p>
          <w:p w14:paraId="321FAE29" w14:textId="1BE2F953" w:rsidR="00302B66" w:rsidRPr="00302B66" w:rsidRDefault="00302B66" w:rsidP="00302B66">
            <w:pPr>
              <w:pBdr>
                <w:top w:val="single" w:sz="4" w:space="1" w:color="000000"/>
                <w:left w:val="nil"/>
                <w:bottom w:val="nil"/>
                <w:right w:val="nil"/>
                <w:between w:val="nil"/>
              </w:pBdr>
              <w:spacing w:line="230" w:lineRule="auto"/>
              <w:rPr>
                <w:color w:val="000000"/>
              </w:rPr>
            </w:pPr>
            <w:r w:rsidRPr="00302B66">
              <w:rPr>
                <w:color w:val="000000"/>
              </w:rPr>
              <w:t xml:space="preserve">Received </w:t>
            </w:r>
            <w:r w:rsidR="00C64CD9">
              <w:rPr>
                <w:color w:val="000000"/>
              </w:rPr>
              <w:t>13 February</w:t>
            </w:r>
            <w:r w:rsidR="00D82711">
              <w:rPr>
                <w:color w:val="000000"/>
              </w:rPr>
              <w:t xml:space="preserve"> </w:t>
            </w:r>
            <w:r w:rsidRPr="00302B66">
              <w:rPr>
                <w:color w:val="000000"/>
              </w:rPr>
              <w:t>202</w:t>
            </w:r>
            <w:r w:rsidR="002E0CA7">
              <w:rPr>
                <w:color w:val="000000"/>
              </w:rPr>
              <w:t>6</w:t>
            </w:r>
          </w:p>
          <w:p w14:paraId="04692215" w14:textId="08054A41" w:rsidR="00302B66" w:rsidRPr="00302B66" w:rsidRDefault="00302B66" w:rsidP="00302B66">
            <w:pPr>
              <w:pBdr>
                <w:top w:val="single" w:sz="4" w:space="1" w:color="000000"/>
                <w:left w:val="nil"/>
                <w:bottom w:val="nil"/>
                <w:right w:val="nil"/>
                <w:between w:val="nil"/>
              </w:pBdr>
              <w:spacing w:line="230" w:lineRule="auto"/>
              <w:rPr>
                <w:color w:val="000000"/>
              </w:rPr>
            </w:pPr>
            <w:r w:rsidRPr="00302B66">
              <w:rPr>
                <w:color w:val="000000"/>
              </w:rPr>
              <w:t>Received in revised form</w:t>
            </w:r>
            <w:r w:rsidR="0017598B">
              <w:rPr>
                <w:color w:val="000000"/>
              </w:rPr>
              <w:t xml:space="preserve"> </w:t>
            </w:r>
            <w:r w:rsidR="00C64CD9">
              <w:rPr>
                <w:color w:val="000000"/>
              </w:rPr>
              <w:t>24</w:t>
            </w:r>
            <w:r w:rsidR="008C187D">
              <w:rPr>
                <w:color w:val="000000"/>
              </w:rPr>
              <w:t xml:space="preserve"> Ma</w:t>
            </w:r>
            <w:r w:rsidR="00C64CD9">
              <w:rPr>
                <w:color w:val="000000"/>
              </w:rPr>
              <w:t>rch</w:t>
            </w:r>
            <w:r w:rsidRPr="00302B66">
              <w:rPr>
                <w:color w:val="000000"/>
              </w:rPr>
              <w:t xml:space="preserve"> 202</w:t>
            </w:r>
            <w:r w:rsidR="002E0CA7">
              <w:rPr>
                <w:color w:val="000000"/>
              </w:rPr>
              <w:t>6</w:t>
            </w:r>
          </w:p>
          <w:p w14:paraId="3A5BC39F" w14:textId="11327D56" w:rsidR="00803108" w:rsidRDefault="00302B66" w:rsidP="00302B66">
            <w:pPr>
              <w:pBdr>
                <w:top w:val="single" w:sz="4" w:space="1" w:color="000000"/>
                <w:left w:val="nil"/>
                <w:bottom w:val="nil"/>
                <w:right w:val="nil"/>
                <w:between w:val="nil"/>
              </w:pBdr>
              <w:spacing w:line="230" w:lineRule="auto"/>
              <w:rPr>
                <w:color w:val="000000"/>
              </w:rPr>
            </w:pPr>
            <w:r w:rsidRPr="00302B66">
              <w:rPr>
                <w:color w:val="000000"/>
              </w:rPr>
              <w:t xml:space="preserve">Accepted </w:t>
            </w:r>
            <w:r w:rsidR="00D20FD0">
              <w:rPr>
                <w:color w:val="000000"/>
              </w:rPr>
              <w:t>17</w:t>
            </w:r>
            <w:r w:rsidR="002E0CA7">
              <w:rPr>
                <w:color w:val="000000"/>
              </w:rPr>
              <w:t xml:space="preserve"> </w:t>
            </w:r>
            <w:r w:rsidR="0020288F">
              <w:rPr>
                <w:color w:val="000000"/>
              </w:rPr>
              <w:t>June</w:t>
            </w:r>
            <w:r w:rsidRPr="00302B66">
              <w:rPr>
                <w:color w:val="000000"/>
              </w:rPr>
              <w:t xml:space="preserve"> 202</w:t>
            </w:r>
            <w:r w:rsidR="00847CA4">
              <w:rPr>
                <w:color w:val="000000"/>
              </w:rPr>
              <w:t>6</w:t>
            </w:r>
          </w:p>
          <w:p w14:paraId="6D6C7AB5" w14:textId="77777777" w:rsidR="00803108" w:rsidRDefault="00803108"/>
          <w:p w14:paraId="75AC6AAF" w14:textId="77777777" w:rsidR="00803108" w:rsidRPr="00825085" w:rsidRDefault="002541EC">
            <w:pPr>
              <w:pBdr>
                <w:top w:val="single" w:sz="4" w:space="1" w:color="000000"/>
                <w:left w:val="nil"/>
                <w:bottom w:val="nil"/>
                <w:right w:val="nil"/>
                <w:between w:val="nil"/>
              </w:pBdr>
              <w:spacing w:line="230" w:lineRule="auto"/>
              <w:rPr>
                <w:i/>
                <w:color w:val="000000"/>
                <w:szCs w:val="24"/>
              </w:rPr>
            </w:pPr>
            <w:r w:rsidRPr="00825085">
              <w:rPr>
                <w:i/>
                <w:color w:val="000000"/>
                <w:szCs w:val="24"/>
              </w:rPr>
              <w:t>Keywords:</w:t>
            </w:r>
          </w:p>
          <w:p w14:paraId="114BBEAC" w14:textId="273450E7" w:rsidR="001834AC" w:rsidRPr="001834AC" w:rsidRDefault="001834AC" w:rsidP="001834AC">
            <w:pPr>
              <w:pBdr>
                <w:top w:val="single" w:sz="4" w:space="1" w:color="000000"/>
                <w:left w:val="nil"/>
                <w:bottom w:val="nil"/>
                <w:right w:val="nil"/>
                <w:between w:val="nil"/>
              </w:pBdr>
              <w:spacing w:line="230" w:lineRule="auto"/>
              <w:rPr>
                <w:color w:val="000000"/>
              </w:rPr>
            </w:pPr>
            <w:r w:rsidRPr="001834AC">
              <w:rPr>
                <w:color w:val="000000"/>
              </w:rPr>
              <w:t>HOTS</w:t>
            </w:r>
          </w:p>
          <w:p w14:paraId="21DE7A1E" w14:textId="1D1083B7" w:rsidR="001834AC" w:rsidRPr="001834AC" w:rsidRDefault="001834AC" w:rsidP="001834AC">
            <w:pPr>
              <w:pBdr>
                <w:top w:val="single" w:sz="4" w:space="1" w:color="000000"/>
                <w:left w:val="nil"/>
                <w:bottom w:val="nil"/>
                <w:right w:val="nil"/>
                <w:between w:val="nil"/>
              </w:pBdr>
              <w:spacing w:line="230" w:lineRule="auto"/>
              <w:rPr>
                <w:color w:val="000000"/>
              </w:rPr>
            </w:pPr>
            <w:r w:rsidRPr="001834AC">
              <w:rPr>
                <w:color w:val="000000"/>
              </w:rPr>
              <w:t>PBL</w:t>
            </w:r>
          </w:p>
          <w:p w14:paraId="6EFF9C20" w14:textId="1D99B622" w:rsidR="001834AC" w:rsidRPr="001834AC" w:rsidRDefault="001834AC" w:rsidP="001834AC">
            <w:pPr>
              <w:pBdr>
                <w:top w:val="single" w:sz="4" w:space="1" w:color="000000"/>
                <w:left w:val="nil"/>
                <w:bottom w:val="nil"/>
                <w:right w:val="nil"/>
                <w:between w:val="nil"/>
              </w:pBdr>
              <w:spacing w:line="230" w:lineRule="auto"/>
              <w:rPr>
                <w:color w:val="000000"/>
              </w:rPr>
            </w:pPr>
            <w:r w:rsidRPr="001834AC">
              <w:rPr>
                <w:color w:val="000000"/>
              </w:rPr>
              <w:t>TPACK</w:t>
            </w:r>
          </w:p>
          <w:p w14:paraId="5F155F8D" w14:textId="2CED081A" w:rsidR="001834AC" w:rsidRPr="001834AC" w:rsidRDefault="001834AC" w:rsidP="001834AC">
            <w:pPr>
              <w:pBdr>
                <w:top w:val="single" w:sz="4" w:space="1" w:color="000000"/>
                <w:left w:val="nil"/>
                <w:bottom w:val="nil"/>
                <w:right w:val="nil"/>
                <w:between w:val="nil"/>
              </w:pBdr>
              <w:spacing w:line="230" w:lineRule="auto"/>
              <w:rPr>
                <w:color w:val="000000"/>
              </w:rPr>
            </w:pPr>
            <w:r w:rsidRPr="001834AC">
              <w:rPr>
                <w:color w:val="000000"/>
              </w:rPr>
              <w:t>Physics Education</w:t>
            </w:r>
          </w:p>
          <w:p w14:paraId="61272D71" w14:textId="51FF7BAA" w:rsidR="008D6167" w:rsidRPr="0018264D" w:rsidRDefault="001834AC" w:rsidP="001834AC">
            <w:pPr>
              <w:pBdr>
                <w:top w:val="single" w:sz="4" w:space="1" w:color="000000"/>
                <w:left w:val="nil"/>
                <w:bottom w:val="nil"/>
                <w:right w:val="nil"/>
                <w:between w:val="nil"/>
              </w:pBdr>
              <w:tabs>
                <w:tab w:val="left" w:pos="465"/>
              </w:tabs>
              <w:spacing w:line="230" w:lineRule="auto"/>
              <w:rPr>
                <w:iCs/>
                <w:szCs w:val="24"/>
              </w:rPr>
            </w:pPr>
            <w:r w:rsidRPr="001834AC">
              <w:rPr>
                <w:color w:val="000000"/>
              </w:rPr>
              <w:t>Newton’s Law</w:t>
            </w:r>
          </w:p>
        </w:tc>
        <w:tc>
          <w:tcPr>
            <w:tcW w:w="349" w:type="dxa"/>
            <w:tcBorders>
              <w:top w:val="single" w:sz="4" w:space="0" w:color="auto"/>
              <w:bottom w:val="nil"/>
            </w:tcBorders>
          </w:tcPr>
          <w:p w14:paraId="37073A18" w14:textId="77777777" w:rsidR="00803108" w:rsidRDefault="00803108"/>
        </w:tc>
        <w:tc>
          <w:tcPr>
            <w:tcW w:w="5953" w:type="dxa"/>
            <w:tcBorders>
              <w:top w:val="single" w:sz="4" w:space="0" w:color="auto"/>
              <w:bottom w:val="single" w:sz="4" w:space="0" w:color="auto"/>
            </w:tcBorders>
          </w:tcPr>
          <w:p w14:paraId="2B4C6FBB" w14:textId="77777777" w:rsidR="00803108" w:rsidRPr="003C7EFA" w:rsidRDefault="00CA4E11" w:rsidP="00A50BC0">
            <w:pPr>
              <w:tabs>
                <w:tab w:val="left" w:pos="3330"/>
              </w:tabs>
              <w:contextualSpacing/>
              <w:rPr>
                <w:b/>
                <w:color w:val="0070C0"/>
                <w:szCs w:val="24"/>
              </w:rPr>
            </w:pPr>
            <w:r>
              <w:rPr>
                <w:b/>
                <w:noProof/>
                <w:color w:val="0070C0"/>
                <w:szCs w:val="24"/>
                <w:lang w:val="id-ID" w:eastAsia="id-ID" w:bidi="ar-SA"/>
              </w:rPr>
              <mc:AlternateContent>
                <mc:Choice Requires="wps">
                  <w:drawing>
                    <wp:anchor distT="4294967295" distB="4294967295" distL="114300" distR="114300" simplePos="0" relativeHeight="251658240" behindDoc="0" locked="0" layoutInCell="1" allowOverlap="1" wp14:anchorId="4432701C" wp14:editId="4DE5DE12">
                      <wp:simplePos x="0" y="0"/>
                      <wp:positionH relativeFrom="column">
                        <wp:posOffset>-54610</wp:posOffset>
                      </wp:positionH>
                      <wp:positionV relativeFrom="paragraph">
                        <wp:posOffset>137160</wp:posOffset>
                      </wp:positionV>
                      <wp:extent cx="3743325" cy="0"/>
                      <wp:effectExtent l="0" t="0" r="0" b="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37433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4C07F0A8" id="Straight Connector 1" o:spid="_x0000_s1026" style="position:absolute;z-index:25165824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4.3pt,10.8pt" to="290.45pt,10.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" strokecolor="black [3200]" strokeweight=".5pt">
                      <v:stroke joinstyle="miter"/>
                      <o:lock v:ext="edit" shapetype="f"/>
                    </v:line>
                  </w:pict>
                </mc:Fallback>
              </mc:AlternateContent>
            </w:r>
            <w:r w:rsidR="002541EC" w:rsidRPr="003C7EFA">
              <w:rPr>
                <w:b/>
                <w:color w:val="0070C0"/>
                <w:szCs w:val="24"/>
              </w:rPr>
              <w:t>Abstract</w:t>
            </w:r>
            <w:r w:rsidR="002541EC" w:rsidRPr="003C7EFA">
              <w:rPr>
                <w:b/>
                <w:color w:val="0070C0"/>
                <w:szCs w:val="24"/>
              </w:rPr>
              <w:tab/>
            </w:r>
          </w:p>
          <w:p w14:paraId="2E671793" w14:textId="3D8A0B6C" w:rsidR="00803108" w:rsidRPr="007E7B00" w:rsidRDefault="001834AC" w:rsidP="00312B87">
            <w:pPr>
              <w:autoSpaceDE w:val="0"/>
              <w:autoSpaceDN w:val="0"/>
              <w:adjustRightInd w:val="0"/>
              <w:contextualSpacing/>
              <w:jc w:val="both"/>
              <w:rPr>
                <w:i/>
                <w:iCs/>
                <w:szCs w:val="24"/>
                <w:lang w:val="id-ID"/>
              </w:rPr>
            </w:pPr>
            <w:r w:rsidRPr="001834AC">
              <w:rPr>
                <w:i/>
                <w:iCs/>
                <w:szCs w:val="24"/>
              </w:rPr>
              <w:t>The low Higher Order Thinking Skills of Indonesian students in Physics lessons encouraged the conduct of this quasi experimental research to investigate the influence of the problem based learning model integrated with technological pedagogical content knowledge on newton's law material. Involving 65 MAN 1 Jambi City students divided into three groups, the results of the kruskal wallis test showed a significant difference (p=0.000) with the technological pedagogical content knowledge integrated problem based learning experimental group achieving the highest average score (90.45) compared to the problem based learning group alone (81.36) and control (75.91). The integration of technologies such as PhET simulation and google sites has been proven to be significantly more effective in improving students' evaluation and creation skills. This study concludes that the combination of problem-based pedagogy with technological proficiency is the main key in transforming learning from memorization into critical and creative self discovery to face the digital era.</w:t>
            </w:r>
            <w:r w:rsidR="007E7B00" w:rsidRPr="007E7B00">
              <w:rPr>
                <w:i/>
                <w:iCs/>
                <w:szCs w:val="24"/>
                <w:lang w:val="id-ID"/>
              </w:rPr>
              <w:t xml:space="preserve"> </w:t>
            </w:r>
          </w:p>
        </w:tc>
      </w:tr>
    </w:tbl>
    <w:p w14:paraId="57397206" w14:textId="77777777" w:rsidR="00A31D05" w:rsidRPr="00987715" w:rsidRDefault="002541EC" w:rsidP="00987715">
      <w:pPr>
        <w:keepNext/>
        <w:pBdr>
          <w:top w:val="single" w:sz="18" w:space="1" w:color="000000"/>
          <w:left w:val="nil"/>
          <w:bottom w:val="nil"/>
          <w:right w:val="nil"/>
          <w:between w:val="nil"/>
        </w:pBdr>
        <w:spacing w:before="120" w:after="120" w:line="240" w:lineRule="auto"/>
        <w:rPr>
          <w:rFonts w:ascii="Times New Roman" w:eastAsia="Times New Roman" w:hAnsi="Times New Roman" w:cs="Times New Roman"/>
          <w:b/>
          <w:color w:val="0070C0"/>
          <w:sz w:val="24"/>
          <w:szCs w:val="24"/>
        </w:rPr>
      </w:pPr>
      <w:r w:rsidRPr="00987715">
        <w:rPr>
          <w:rFonts w:ascii="Times New Roman" w:eastAsia="Times New Roman" w:hAnsi="Times New Roman" w:cs="Times New Roman"/>
          <w:b/>
          <w:color w:val="0070C0"/>
          <w:sz w:val="24"/>
          <w:szCs w:val="24"/>
        </w:rPr>
        <w:t>Introduction</w:t>
      </w:r>
    </w:p>
    <w:p w14:paraId="511175C6" w14:textId="55E951D6" w:rsidR="00A37A64" w:rsidRPr="00A37A64" w:rsidRDefault="00A37A64" w:rsidP="00A37A64">
      <w:pPr>
        <w:spacing w:before="120" w:after="120" w:line="240" w:lineRule="auto"/>
        <w:jc w:val="both"/>
        <w:rPr>
          <w:rFonts w:ascii="Times New Roman" w:hAnsi="Times New Roman" w:cs="Times New Roman"/>
          <w:sz w:val="24"/>
          <w:szCs w:val="24"/>
          <w:shd w:val="clear" w:color="auto" w:fill="FFFFFF"/>
        </w:rPr>
      </w:pPr>
      <w:bookmarkStart w:id="7" w:name="_Hlk201045388"/>
      <w:r w:rsidRPr="00A37A64">
        <w:rPr>
          <w:rFonts w:ascii="Times New Roman" w:hAnsi="Times New Roman" w:cs="Times New Roman"/>
          <w:sz w:val="24"/>
          <w:szCs w:val="24"/>
          <w:shd w:val="clear" w:color="auto" w:fill="FFFFFF"/>
        </w:rPr>
        <w:t>High order thinking skills (HOTS) are one of the most important aspects to be developed in students</w:t>
      </w:r>
      <w:r w:rsidR="00B8249E">
        <w:rPr>
          <w:rFonts w:ascii="Times New Roman" w:hAnsi="Times New Roman" w:cs="Times New Roman"/>
          <w:sz w:val="24"/>
          <w:szCs w:val="24"/>
          <w:shd w:val="clear" w:color="auto" w:fill="FFFFFF"/>
        </w:rPr>
        <w:t xml:space="preserve"> (</w:t>
      </w:r>
      <w:r w:rsidR="00B8249E" w:rsidRPr="00B8249E">
        <w:rPr>
          <w:rFonts w:ascii="Times New Roman" w:hAnsi="Times New Roman" w:cs="Times New Roman"/>
          <w:sz w:val="24"/>
          <w:szCs w:val="24"/>
          <w:shd w:val="clear" w:color="auto" w:fill="FFFFFF"/>
        </w:rPr>
        <w:t xml:space="preserve">Kosasih </w:t>
      </w:r>
      <w:r w:rsidR="00B8249E">
        <w:rPr>
          <w:rFonts w:ascii="Times New Roman" w:hAnsi="Times New Roman" w:cs="Times New Roman"/>
          <w:sz w:val="24"/>
          <w:szCs w:val="24"/>
          <w:shd w:val="clear" w:color="auto" w:fill="FFFFFF"/>
        </w:rPr>
        <w:t xml:space="preserve"> et al., 2022; </w:t>
      </w:r>
      <w:r w:rsidR="00B8249E" w:rsidRPr="00B8249E">
        <w:rPr>
          <w:rFonts w:ascii="Times New Roman" w:hAnsi="Times New Roman" w:cs="Times New Roman"/>
          <w:sz w:val="24"/>
          <w:szCs w:val="24"/>
        </w:rPr>
        <w:t>Kurniawan</w:t>
      </w:r>
      <w:r w:rsidR="00B8249E">
        <w:rPr>
          <w:rFonts w:ascii="Times New Roman" w:hAnsi="Times New Roman" w:cs="Times New Roman"/>
          <w:sz w:val="24"/>
          <w:szCs w:val="24"/>
        </w:rPr>
        <w:t xml:space="preserve"> et al., 2024; </w:t>
      </w:r>
      <w:r w:rsidR="00B8249E" w:rsidRPr="00B8249E">
        <w:rPr>
          <w:rFonts w:ascii="Times New Roman" w:hAnsi="Times New Roman" w:cs="Times New Roman"/>
          <w:sz w:val="24"/>
          <w:szCs w:val="24"/>
        </w:rPr>
        <w:t>Derakhshan</w:t>
      </w:r>
      <w:r w:rsidR="00B8249E">
        <w:rPr>
          <w:rFonts w:ascii="Times New Roman" w:hAnsi="Times New Roman" w:cs="Times New Roman"/>
          <w:sz w:val="24"/>
          <w:szCs w:val="24"/>
        </w:rPr>
        <w:t xml:space="preserve"> &amp; </w:t>
      </w:r>
      <w:r w:rsidR="00B8249E" w:rsidRPr="00B8249E">
        <w:rPr>
          <w:rFonts w:ascii="Times New Roman" w:hAnsi="Times New Roman" w:cs="Times New Roman"/>
          <w:sz w:val="24"/>
          <w:szCs w:val="24"/>
        </w:rPr>
        <w:t>Taghizadeh</w:t>
      </w:r>
      <w:r w:rsidR="00B8249E">
        <w:rPr>
          <w:rFonts w:ascii="Times New Roman" w:hAnsi="Times New Roman" w:cs="Times New Roman"/>
          <w:sz w:val="24"/>
          <w:szCs w:val="24"/>
        </w:rPr>
        <w:t>, 2025).</w:t>
      </w:r>
      <w:r w:rsidR="00B8249E">
        <w:rPr>
          <w:rFonts w:ascii="Times New Roman" w:hAnsi="Times New Roman" w:cs="Times New Roman"/>
          <w:sz w:val="24"/>
          <w:szCs w:val="24"/>
          <w:shd w:val="clear" w:color="auto" w:fill="FFFFFF"/>
        </w:rPr>
        <w:t xml:space="preserve"> </w:t>
      </w:r>
      <w:r w:rsidRPr="00A37A64">
        <w:rPr>
          <w:rFonts w:ascii="Times New Roman" w:hAnsi="Times New Roman" w:cs="Times New Roman"/>
          <w:sz w:val="24"/>
          <w:szCs w:val="24"/>
          <w:shd w:val="clear" w:color="auto" w:fill="FFFFFF"/>
        </w:rPr>
        <w:t>HOTS according to bloom's taxonomy includes the ability to analyze, evaluate, and create solutions to complex and real-life problems. These skills are needed so that students can compete in an increasingly rapidly evolving world, both in personal, social, and professional lives. Education that emphasizes HOTS has a great impact in preparing a generation that is able to face global challenges</w:t>
      </w:r>
      <w:r w:rsidR="00B8249E">
        <w:rPr>
          <w:rFonts w:ascii="Times New Roman" w:hAnsi="Times New Roman" w:cs="Times New Roman"/>
          <w:sz w:val="24"/>
          <w:szCs w:val="24"/>
          <w:shd w:val="clear" w:color="auto" w:fill="FFFFFF"/>
        </w:rPr>
        <w:t xml:space="preserve"> (</w:t>
      </w:r>
      <w:r w:rsidR="00B8249E" w:rsidRPr="00B8249E">
        <w:rPr>
          <w:rFonts w:ascii="Times New Roman" w:hAnsi="Times New Roman" w:cs="Times New Roman"/>
          <w:sz w:val="24"/>
          <w:szCs w:val="24"/>
          <w:shd w:val="clear" w:color="auto" w:fill="FFFFFF"/>
        </w:rPr>
        <w:t>Ragab</w:t>
      </w:r>
      <w:r w:rsidR="00B8249E">
        <w:rPr>
          <w:rFonts w:ascii="Times New Roman" w:hAnsi="Times New Roman" w:cs="Times New Roman"/>
          <w:sz w:val="24"/>
          <w:szCs w:val="24"/>
          <w:shd w:val="clear" w:color="auto" w:fill="FFFFFF"/>
        </w:rPr>
        <w:t xml:space="preserve"> et al., 2024; </w:t>
      </w:r>
      <w:r w:rsidR="00B8249E" w:rsidRPr="00B8249E">
        <w:rPr>
          <w:rFonts w:ascii="Times New Roman" w:hAnsi="Times New Roman" w:cs="Times New Roman"/>
          <w:sz w:val="24"/>
          <w:szCs w:val="24"/>
        </w:rPr>
        <w:t>Ahmad</w:t>
      </w:r>
      <w:r w:rsidR="00B8249E">
        <w:rPr>
          <w:rFonts w:ascii="Times New Roman" w:hAnsi="Times New Roman" w:cs="Times New Roman"/>
          <w:sz w:val="24"/>
          <w:szCs w:val="24"/>
        </w:rPr>
        <w:t xml:space="preserve"> et al., 2025; </w:t>
      </w:r>
      <w:r w:rsidR="00B8249E" w:rsidRPr="00B8249E">
        <w:rPr>
          <w:rFonts w:ascii="Times New Roman" w:hAnsi="Times New Roman" w:cs="Times New Roman"/>
          <w:sz w:val="24"/>
          <w:szCs w:val="24"/>
        </w:rPr>
        <w:t>Ismeirita</w:t>
      </w:r>
      <w:r w:rsidR="00B8249E">
        <w:rPr>
          <w:rFonts w:ascii="Times New Roman" w:hAnsi="Times New Roman" w:cs="Times New Roman"/>
          <w:sz w:val="24"/>
          <w:szCs w:val="24"/>
        </w:rPr>
        <w:t xml:space="preserve"> et al., 2025).</w:t>
      </w:r>
    </w:p>
    <w:p w14:paraId="25E012AF" w14:textId="7190E336" w:rsidR="00A37A64" w:rsidRPr="00A37A64" w:rsidRDefault="00A37A64" w:rsidP="00A37A64">
      <w:pPr>
        <w:spacing w:before="120" w:after="120" w:line="240" w:lineRule="auto"/>
        <w:jc w:val="both"/>
        <w:rPr>
          <w:rFonts w:ascii="Times New Roman" w:hAnsi="Times New Roman" w:cs="Times New Roman"/>
          <w:sz w:val="24"/>
          <w:szCs w:val="24"/>
          <w:shd w:val="clear" w:color="auto" w:fill="FFFFFF"/>
        </w:rPr>
      </w:pPr>
      <w:r w:rsidRPr="00A37A64">
        <w:rPr>
          <w:rFonts w:ascii="Times New Roman" w:hAnsi="Times New Roman" w:cs="Times New Roman"/>
          <w:sz w:val="24"/>
          <w:szCs w:val="24"/>
          <w:shd w:val="clear" w:color="auto" w:fill="FFFFFF"/>
        </w:rPr>
        <w:t>The importance of mastering HOTS is increasingly relevant in the context of the demographic bonus that Indonesia is experiencing</w:t>
      </w:r>
      <w:r w:rsidR="00B8249E">
        <w:rPr>
          <w:rFonts w:ascii="Times New Roman" w:hAnsi="Times New Roman" w:cs="Times New Roman"/>
          <w:sz w:val="24"/>
          <w:szCs w:val="24"/>
          <w:shd w:val="clear" w:color="auto" w:fill="FFFFFF"/>
        </w:rPr>
        <w:t xml:space="preserve"> (</w:t>
      </w:r>
      <w:r w:rsidR="00B8249E" w:rsidRPr="00B8249E">
        <w:rPr>
          <w:rFonts w:ascii="Times New Roman" w:hAnsi="Times New Roman" w:cs="Times New Roman"/>
          <w:sz w:val="24"/>
          <w:szCs w:val="24"/>
          <w:shd w:val="clear" w:color="auto" w:fill="FFFFFF"/>
        </w:rPr>
        <w:t>Pisriwati</w:t>
      </w:r>
      <w:r w:rsidR="00B8249E">
        <w:rPr>
          <w:rFonts w:ascii="Times New Roman" w:hAnsi="Times New Roman" w:cs="Times New Roman"/>
          <w:sz w:val="24"/>
          <w:szCs w:val="24"/>
          <w:shd w:val="clear" w:color="auto" w:fill="FFFFFF"/>
        </w:rPr>
        <w:t xml:space="preserve"> et al., 2024; </w:t>
      </w:r>
      <w:r w:rsidR="00B8249E" w:rsidRPr="00B8249E">
        <w:rPr>
          <w:rFonts w:ascii="Times New Roman" w:hAnsi="Times New Roman" w:cs="Times New Roman"/>
          <w:sz w:val="24"/>
          <w:szCs w:val="24"/>
        </w:rPr>
        <w:t>Danis</w:t>
      </w:r>
      <w:r w:rsidR="00B8249E">
        <w:rPr>
          <w:rFonts w:ascii="Times New Roman" w:hAnsi="Times New Roman" w:cs="Times New Roman"/>
          <w:sz w:val="24"/>
          <w:szCs w:val="24"/>
        </w:rPr>
        <w:t xml:space="preserve"> et al., 2025; </w:t>
      </w:r>
      <w:r w:rsidR="00B8249E" w:rsidRPr="00B8249E">
        <w:rPr>
          <w:rFonts w:ascii="Times New Roman" w:hAnsi="Times New Roman" w:cs="Times New Roman"/>
          <w:sz w:val="24"/>
          <w:szCs w:val="24"/>
        </w:rPr>
        <w:t>Siregar</w:t>
      </w:r>
      <w:r w:rsidR="00B8249E">
        <w:rPr>
          <w:rFonts w:ascii="Times New Roman" w:hAnsi="Times New Roman" w:cs="Times New Roman"/>
          <w:sz w:val="24"/>
          <w:szCs w:val="24"/>
        </w:rPr>
        <w:t>, 2025).</w:t>
      </w:r>
      <w:r w:rsidRPr="00A37A64">
        <w:rPr>
          <w:rFonts w:ascii="Times New Roman" w:hAnsi="Times New Roman" w:cs="Times New Roman"/>
          <w:sz w:val="24"/>
          <w:szCs w:val="24"/>
          <w:shd w:val="clear" w:color="auto" w:fill="FFFFFF"/>
        </w:rPr>
        <w:t xml:space="preserve"> Based on data from the central statistics agency (BPS), in 2023 around 70.7% of Indonesia's total population will be included in the productive age group (15–64 years). This phenomenon is expected to last until 2040. This demographic bonus is a golden opportunity for Indonesia to accelerate economic growth and development, but it can turn into a serious challenge if the quality of human resources is inadequate. Without the provision of high-level thinking skills, students risk becoming a less competitive workforce and difficult to adapt to global demands </w:t>
      </w:r>
      <w:sdt>
        <w:sdtPr>
          <w:rPr>
            <w:rFonts w:ascii="Times New Roman" w:hAnsi="Times New Roman" w:cs="Times New Roman"/>
            <w:sz w:val="24"/>
            <w:szCs w:val="24"/>
            <w:shd w:val="clear" w:color="auto" w:fill="FFFFFF"/>
          </w:rPr>
          <w:tag w:val="MENDELEY_CITATION_v3_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"/>
          <w:id w:val="668686174"/>
          <w:placeholder>
            <w:docPart w:val="2B602B37CD34451B9366ED800C8DDBB2"/>
          </w:placeholder>
        </w:sdtPr>
        <w:sdtContent>
          <w:r w:rsidRPr="00A37A64">
            <w:rPr>
              <w:rFonts w:ascii="Times New Roman" w:hAnsi="Times New Roman" w:cs="Times New Roman"/>
              <w:sz w:val="24"/>
              <w:szCs w:val="24"/>
              <w:shd w:val="clear" w:color="auto" w:fill="FFFFFF"/>
            </w:rPr>
            <w:t xml:space="preserve">(Rachman et al., 2022). </w:t>
          </w:r>
        </w:sdtContent>
      </w:sdt>
    </w:p>
    <w:p w14:paraId="203990AD" w14:textId="2695147C" w:rsidR="00A37A64" w:rsidRPr="00A37A64" w:rsidRDefault="00A37A64" w:rsidP="00A37A64">
      <w:pPr>
        <w:spacing w:before="120" w:after="120" w:line="240" w:lineRule="auto"/>
        <w:jc w:val="both"/>
        <w:rPr>
          <w:rFonts w:ascii="Times New Roman" w:hAnsi="Times New Roman" w:cs="Times New Roman"/>
          <w:sz w:val="24"/>
          <w:szCs w:val="24"/>
          <w:shd w:val="clear" w:color="auto" w:fill="FFFFFF"/>
        </w:rPr>
      </w:pPr>
      <w:r w:rsidRPr="00A37A64">
        <w:rPr>
          <w:rFonts w:ascii="Times New Roman" w:hAnsi="Times New Roman" w:cs="Times New Roman"/>
          <w:sz w:val="24"/>
          <w:szCs w:val="24"/>
          <w:shd w:val="clear" w:color="auto" w:fill="FFFFFF"/>
        </w:rPr>
        <w:t>Despite its importance, the development of HOTS in Indonesia, especially in physics, still faces many challenges</w:t>
      </w:r>
      <w:r w:rsidR="00B8249E">
        <w:rPr>
          <w:rFonts w:ascii="Times New Roman" w:hAnsi="Times New Roman" w:cs="Times New Roman"/>
          <w:sz w:val="24"/>
          <w:szCs w:val="24"/>
          <w:shd w:val="clear" w:color="auto" w:fill="FFFFFF"/>
        </w:rPr>
        <w:t xml:space="preserve"> (</w:t>
      </w:r>
      <w:r w:rsidR="00B8249E" w:rsidRPr="00B8249E">
        <w:rPr>
          <w:rFonts w:ascii="Times New Roman" w:hAnsi="Times New Roman" w:cs="Times New Roman"/>
          <w:sz w:val="24"/>
          <w:szCs w:val="24"/>
          <w:shd w:val="clear" w:color="auto" w:fill="FFFFFF"/>
        </w:rPr>
        <w:t>Mardiana</w:t>
      </w:r>
      <w:r w:rsidR="00B8249E">
        <w:rPr>
          <w:rFonts w:ascii="Times New Roman" w:hAnsi="Times New Roman" w:cs="Times New Roman"/>
          <w:sz w:val="24"/>
          <w:szCs w:val="24"/>
          <w:shd w:val="clear" w:color="auto" w:fill="FFFFFF"/>
        </w:rPr>
        <w:t xml:space="preserve">, 2024; </w:t>
      </w:r>
      <w:r w:rsidR="00B8249E" w:rsidRPr="00B8249E">
        <w:rPr>
          <w:rFonts w:ascii="Times New Roman" w:hAnsi="Times New Roman" w:cs="Times New Roman"/>
          <w:sz w:val="24"/>
          <w:szCs w:val="24"/>
        </w:rPr>
        <w:t>Astalini</w:t>
      </w:r>
      <w:r w:rsidR="00B8249E">
        <w:rPr>
          <w:rFonts w:ascii="Times New Roman" w:hAnsi="Times New Roman" w:cs="Times New Roman"/>
          <w:sz w:val="24"/>
          <w:szCs w:val="24"/>
        </w:rPr>
        <w:t xml:space="preserve"> et al., 2022; </w:t>
      </w:r>
      <w:r w:rsidR="00B8249E" w:rsidRPr="00B8249E">
        <w:rPr>
          <w:rFonts w:ascii="Times New Roman" w:hAnsi="Times New Roman" w:cs="Times New Roman"/>
          <w:sz w:val="24"/>
          <w:szCs w:val="24"/>
        </w:rPr>
        <w:t>Mardiana</w:t>
      </w:r>
      <w:r w:rsidR="00B8249E">
        <w:rPr>
          <w:rFonts w:ascii="Times New Roman" w:hAnsi="Times New Roman" w:cs="Times New Roman"/>
          <w:sz w:val="24"/>
          <w:szCs w:val="24"/>
        </w:rPr>
        <w:t xml:space="preserve"> et al., 2025).</w:t>
      </w:r>
      <w:r w:rsidRPr="00A37A64">
        <w:rPr>
          <w:rFonts w:ascii="Times New Roman" w:hAnsi="Times New Roman" w:cs="Times New Roman"/>
          <w:sz w:val="24"/>
          <w:szCs w:val="24"/>
          <w:shd w:val="clear" w:color="auto" w:fill="FFFFFF"/>
        </w:rPr>
        <w:t xml:space="preserve"> Based on the 2022 PISA report from the OECD, it states that the HOTS of Indonesian students is still relatively low, with an average score of only 19 out of 60, still far below the OECD average of 33. In addition, computer-based national assessment (ANBK) data in 2023 reveals that the average literacy and numeracy (AKM) ability of Indonesian students is still dominated by the </w:t>
      </w:r>
      <w:r w:rsidRPr="00A37A64">
        <w:rPr>
          <w:rFonts w:ascii="Times New Roman" w:hAnsi="Times New Roman" w:cs="Times New Roman"/>
          <w:sz w:val="24"/>
          <w:szCs w:val="24"/>
          <w:shd w:val="clear" w:color="auto" w:fill="FFFFFF"/>
        </w:rPr>
        <w:lastRenderedPageBreak/>
        <w:t>basic or capable category. This means, even though many students have a basic understanding, they still have difficulty in dealing with HOTS questions that are part of AKM</w:t>
      </w:r>
      <w:r w:rsidR="00B8249E">
        <w:rPr>
          <w:rFonts w:ascii="Times New Roman" w:hAnsi="Times New Roman" w:cs="Times New Roman"/>
          <w:sz w:val="24"/>
          <w:szCs w:val="24"/>
          <w:shd w:val="clear" w:color="auto" w:fill="FFFFFF"/>
        </w:rPr>
        <w:t xml:space="preserve"> (</w:t>
      </w:r>
      <w:r w:rsidR="00B8249E" w:rsidRPr="00B8249E">
        <w:rPr>
          <w:rFonts w:ascii="Times New Roman" w:hAnsi="Times New Roman" w:cs="Times New Roman"/>
          <w:sz w:val="24"/>
          <w:szCs w:val="24"/>
          <w:shd w:val="clear" w:color="auto" w:fill="FFFFFF"/>
        </w:rPr>
        <w:t>Siregar</w:t>
      </w:r>
      <w:r w:rsidR="00B8249E">
        <w:rPr>
          <w:rFonts w:ascii="Times New Roman" w:hAnsi="Times New Roman" w:cs="Times New Roman"/>
          <w:sz w:val="24"/>
          <w:szCs w:val="24"/>
          <w:shd w:val="clear" w:color="auto" w:fill="FFFFFF"/>
        </w:rPr>
        <w:t xml:space="preserve"> &amp; </w:t>
      </w:r>
      <w:r w:rsidR="00B8249E" w:rsidRPr="00B8249E">
        <w:rPr>
          <w:rFonts w:ascii="Times New Roman" w:hAnsi="Times New Roman" w:cs="Times New Roman"/>
          <w:sz w:val="24"/>
          <w:szCs w:val="24"/>
        </w:rPr>
        <w:t>Siregar</w:t>
      </w:r>
      <w:r w:rsidR="00B8249E">
        <w:rPr>
          <w:rFonts w:ascii="Times New Roman" w:hAnsi="Times New Roman" w:cs="Times New Roman"/>
          <w:sz w:val="24"/>
          <w:szCs w:val="24"/>
        </w:rPr>
        <w:t xml:space="preserve">, 2025; </w:t>
      </w:r>
      <w:r w:rsidR="00B8249E" w:rsidRPr="00B8249E">
        <w:rPr>
          <w:rFonts w:ascii="Times New Roman" w:hAnsi="Times New Roman" w:cs="Times New Roman"/>
          <w:sz w:val="24"/>
          <w:szCs w:val="24"/>
        </w:rPr>
        <w:t>Phibeta</w:t>
      </w:r>
      <w:r w:rsidR="00B8249E">
        <w:rPr>
          <w:rFonts w:ascii="Times New Roman" w:hAnsi="Times New Roman" w:cs="Times New Roman"/>
          <w:sz w:val="24"/>
          <w:szCs w:val="24"/>
        </w:rPr>
        <w:t xml:space="preserve"> et al., 2025; </w:t>
      </w:r>
      <w:r w:rsidR="00353DE1" w:rsidRPr="00353DE1">
        <w:rPr>
          <w:rFonts w:ascii="Times New Roman" w:hAnsi="Times New Roman" w:cs="Times New Roman"/>
          <w:sz w:val="24"/>
          <w:szCs w:val="24"/>
        </w:rPr>
        <w:t>Muharram</w:t>
      </w:r>
      <w:r w:rsidR="00353DE1">
        <w:rPr>
          <w:rFonts w:ascii="Times New Roman" w:hAnsi="Times New Roman" w:cs="Times New Roman"/>
          <w:sz w:val="24"/>
          <w:szCs w:val="24"/>
        </w:rPr>
        <w:t xml:space="preserve"> et al., 2025).</w:t>
      </w:r>
    </w:p>
    <w:p w14:paraId="5B70132A" w14:textId="4517F552" w:rsidR="00A37A64" w:rsidRPr="00A37A64" w:rsidRDefault="00A37A64" w:rsidP="00A37A64">
      <w:pPr>
        <w:spacing w:before="120" w:after="120" w:line="240" w:lineRule="auto"/>
        <w:jc w:val="both"/>
        <w:rPr>
          <w:rFonts w:ascii="Times New Roman" w:hAnsi="Times New Roman" w:cs="Times New Roman"/>
          <w:sz w:val="24"/>
          <w:szCs w:val="24"/>
          <w:shd w:val="clear" w:color="auto" w:fill="FFFFFF"/>
        </w:rPr>
      </w:pPr>
      <w:r w:rsidRPr="00A37A64">
        <w:rPr>
          <w:rFonts w:ascii="Times New Roman" w:hAnsi="Times New Roman" w:cs="Times New Roman"/>
          <w:sz w:val="24"/>
          <w:szCs w:val="24"/>
          <w:shd w:val="clear" w:color="auto" w:fill="FFFFFF"/>
        </w:rPr>
        <w:t>The low level of thinking ability (HOTS) of students is caused by the dominance of learning methods that still focus on memorization rather than analysis and evaluation</w:t>
      </w:r>
      <w:r w:rsidR="00353DE1">
        <w:rPr>
          <w:rFonts w:ascii="Times New Roman" w:hAnsi="Times New Roman" w:cs="Times New Roman"/>
          <w:sz w:val="24"/>
          <w:szCs w:val="24"/>
          <w:shd w:val="clear" w:color="auto" w:fill="FFFFFF"/>
        </w:rPr>
        <w:t xml:space="preserve"> (</w:t>
      </w:r>
      <w:r w:rsidR="00353DE1" w:rsidRPr="00353DE1">
        <w:rPr>
          <w:rFonts w:ascii="Times New Roman" w:hAnsi="Times New Roman" w:cs="Times New Roman"/>
          <w:sz w:val="24"/>
          <w:szCs w:val="24"/>
          <w:shd w:val="clear" w:color="auto" w:fill="FFFFFF"/>
        </w:rPr>
        <w:t>Puspitasari</w:t>
      </w:r>
      <w:r w:rsidR="00353DE1">
        <w:rPr>
          <w:rFonts w:ascii="Times New Roman" w:hAnsi="Times New Roman" w:cs="Times New Roman"/>
          <w:sz w:val="24"/>
          <w:szCs w:val="24"/>
          <w:shd w:val="clear" w:color="auto" w:fill="FFFFFF"/>
        </w:rPr>
        <w:t xml:space="preserve">, 2025; </w:t>
      </w:r>
      <w:r w:rsidR="00353DE1" w:rsidRPr="00353DE1">
        <w:rPr>
          <w:rFonts w:ascii="Times New Roman" w:hAnsi="Times New Roman" w:cs="Times New Roman"/>
          <w:sz w:val="24"/>
          <w:szCs w:val="24"/>
        </w:rPr>
        <w:t>Rosmawati</w:t>
      </w:r>
      <w:r w:rsidR="00353DE1">
        <w:rPr>
          <w:rFonts w:ascii="Times New Roman" w:hAnsi="Times New Roman" w:cs="Times New Roman"/>
          <w:sz w:val="24"/>
          <w:szCs w:val="24"/>
        </w:rPr>
        <w:t xml:space="preserve"> et al., 2025; </w:t>
      </w:r>
      <w:r w:rsidR="00353DE1" w:rsidRPr="00353DE1">
        <w:rPr>
          <w:rFonts w:ascii="Times New Roman" w:hAnsi="Times New Roman" w:cs="Times New Roman"/>
          <w:sz w:val="24"/>
          <w:szCs w:val="24"/>
        </w:rPr>
        <w:t>Kusumadani</w:t>
      </w:r>
      <w:r w:rsidR="00353DE1">
        <w:rPr>
          <w:rFonts w:ascii="Times New Roman" w:hAnsi="Times New Roman" w:cs="Times New Roman"/>
          <w:sz w:val="24"/>
          <w:szCs w:val="24"/>
        </w:rPr>
        <w:t xml:space="preserve"> et al., 2025).</w:t>
      </w:r>
      <w:r w:rsidR="00353DE1">
        <w:rPr>
          <w:rFonts w:ascii="Times New Roman" w:hAnsi="Times New Roman" w:cs="Times New Roman"/>
          <w:sz w:val="24"/>
          <w:szCs w:val="24"/>
          <w:shd w:val="clear" w:color="auto" w:fill="FFFFFF"/>
        </w:rPr>
        <w:t xml:space="preserve"> </w:t>
      </w:r>
      <w:r w:rsidRPr="00A37A64">
        <w:rPr>
          <w:rFonts w:ascii="Times New Roman" w:hAnsi="Times New Roman" w:cs="Times New Roman"/>
          <w:sz w:val="24"/>
          <w:szCs w:val="24"/>
          <w:shd w:val="clear" w:color="auto" w:fill="FFFFFF"/>
        </w:rPr>
        <w:t>as well as the use of technology that is still limited and less interactive</w:t>
      </w:r>
      <w:r w:rsidR="00353DE1">
        <w:rPr>
          <w:rFonts w:ascii="Times New Roman" w:hAnsi="Times New Roman" w:cs="Times New Roman"/>
          <w:sz w:val="24"/>
          <w:szCs w:val="24"/>
          <w:shd w:val="clear" w:color="auto" w:fill="FFFFFF"/>
        </w:rPr>
        <w:t xml:space="preserve">. </w:t>
      </w:r>
      <w:r w:rsidRPr="00A37A64">
        <w:rPr>
          <w:rFonts w:ascii="Times New Roman" w:hAnsi="Times New Roman" w:cs="Times New Roman"/>
          <w:sz w:val="24"/>
          <w:szCs w:val="24"/>
          <w:shd w:val="clear" w:color="auto" w:fill="FFFFFF"/>
        </w:rPr>
        <w:t xml:space="preserve">This condition is exacerbated by constraints in the field, particularly in physics subjects, where learners tend to feel bored, find material difficult, and feel irrelevant, which significantly hinders their cognitive development </w:t>
      </w:r>
      <w:r w:rsidRPr="00A37A64">
        <w:rPr>
          <w:rFonts w:ascii="Times New Roman" w:hAnsi="Times New Roman" w:cs="Times New Roman"/>
          <w:sz w:val="24"/>
          <w:szCs w:val="24"/>
          <w:shd w:val="clear" w:color="auto" w:fill="FFFFFF"/>
        </w:rPr>
        <w:fldChar w:fldCharType="begin" w:fldLock="1"/>
      </w:r>
      <w:r w:rsidRPr="00A37A64">
        <w:rPr>
          <w:rFonts w:ascii="Times New Roman" w:hAnsi="Times New Roman" w:cs="Times New Roman"/>
          <w:sz w:val="24"/>
          <w:szCs w:val="24"/>
          <w:shd w:val="clear" w:color="auto" w:fill="FFFFFF"/>
        </w:rPr>
        <w:instrText>ADDIN CSL_CITATION {"citationItems":[{"id":"ITEM-1","itemData":{"DOI":"10.1063/5.0201019","abstract":"This paper aims to find out the initial information and describe the needs and obstacles in learning physics from the point of view of students. It was found that teaching and learning activities have used Kurikulum Merdeka and there are still shortcomings in the availability of learning resources. This research uses a descriptive method with data analyzed using data reduction. A total of 128 students participated in this survey. The results showed that: (1) renewable energy material is the most difficult topic for students to understand; (2) there are some difficulties felt by students during online physics learning such as difficult-to-understand material, lack of learning resources, explanations are not accompanied by examples of application in daily life, and learning tends to assignments; (3) 84.3% of students argue that the stem approach can help them understand the taught physics material. (3) 58.6% of survey results stated that it is very important in developing stem-based e-learning to improve students' creative thinking skills. (3) Physics learning content that students want includes images, videos, audio, and text. The results of this study indicate that stem-based learning needs to be developed to improve students' creative thinking skills. © 2024 American Institute of Physics Inc.. All rights reserved.","author":[{"dropping-particle":"","family":"Nazhifah","given":"N","non-dropping-particle":"","parse-names":false,"suffix":""},{"dropping-particle":"","family":"Wiyono","given":"K","non-dropping-particle":"","parse-names":false,"suffix":""}],"container-title":"AIP Conference Proceedings","id":"ITEM-1","issue":"1","issued":{"date-parts":[["2024"]]},"note":"Export Date: 12 February 2026; Cited By: 0","title":"Needs Analysis of STEM-based E-learning to Improve Students' Creative Thinking Skills","type":"paper-conference","volume":"3052"},"uris":["http://www.mendeley.com/documents/?uuid=32945773-7f54-4cc0-9778-a4639f011c49"]},{"id":"ITEM-2","itemData":{"abstract":"Energy constitutes a fundamental and unifying concept in physics, yet research consistently demonstrates that secondary students encounter persistent conceptual and mathematical difficulties when learning it. These challenges remain particularly evident in the Moroccan context, where the 2015 curriculum reform emphasized contextualized, experimental, and competency-based learning, but gaps continue to exist in instructional practice and resource adequacy. Guided by the theoretical foundations of energy didactics and STEM-based educational approaches, this study investigates Moroccan secondary school physics teachers’ perceptions regarding the complexity of energy concepts, the difficulties experienced by students, and the relevance of curricular and pedagogical resources. A quantitative methodology was adopted, with data collected from 76 physics teachers in Kenitra through an online questionnaire. Exploratory factor analysis confirmed the instrument’s construct validity (KMO = 0.633; Bartlett’s test p &lt; 0.001), and reliability analysis yielded a high Cronbach’s alpha (α = 0.914). Descriptive and inferential statistics were applied to examine teachers’ views of conceptual, mathematical, and contextual challenges in energy instruction. Findings reveal that teachers perceive several core energy concepts including electrostatic and thermal energy, internal energy, and the mechanical energy theorem as particularly complex for students. Reported difficulties stem from abstract conceptualization, mathematical reasoning, and limited instructional time, compounded by language-of-instruction barriers and insufficient digital simulation tools. Although over half of the teachers received training on teaching energy, a large majority (88.2%) believe curriculum reform remains necessary to better align instructional practices with STEM-oriented and competence-based approaches. This study highlights the urgent need to reinforce teacher professional development, enhance the integration of experimental and simulation-based activities, and strengthen curriculum-material alignment. Insights gained can inform future reforms in physics education in Morocco and contribute to advancing effective STEM-based instruction of foundational energy concepts. © 2025, International Organization on 'Technical and Physical Problems of Engineering'. All rights reserved.","author":[{"dropping-particle":"","family":"Dghoughi","given":"M","non-dropping-particle":"","parse-names":false,"suffix":""},{"dropping-particle":"","family":"Naout","given":"I","non-dropping-particle":"","parse-names":false,"suffix":""},{"dropping-particle":"","family":"Aazim","given":"J A","non-dropping-particle":"","parse-names":false,"suffix":""},{"dropping-particle":"","family":"Mellouki","given":"S","non-dropping-particle":"El","parse-names":false,"suffix":""},{"dropping-particle":"","family":"Samaouali","given":"A","non-dropping-particle":"","parse-names":false,"suffix":""}],"container-title":"International Journal on Technical and Physical Problems of Engineering","id":"ITEM-2","issue":"4","issued":{"date-parts":[["2025"]]},"note":"Export Date: 12 February 2026; Cited By: 0","page":"278-288","title":"CONCEPTUAL UNDERSTANDING AND CHALLENGES IN REPRESENTATION OF ENERGY CONCEPTS","type":"article-journal","volume":"17"},"uris":["http://www.mendeley.com/documents/?uuid=2a5f8501-f8a2-4584-9079-68ac91232b76"]},{"id":"ITEM-3","itemData":{"DOI":"10.15330/jpnu.12.1.151-160","abstract":"The most important theoretical and methodological aspects of studying chemistry in general secondary education institutions have been analyzed. To gain a deeper understanding of the challenges faced by secondary education students during the study of chemistry, a diagnostic experiment was conducted. An anonymous survey was conducted among students of grades 7–9 at Lviv Secondary School No. 67 (Ukraine). The results of the diagnostic experiment revealed that the main difficulties faced by students include low interest in the subject, challenges in understanding certain concepts, laws, and theories, as well as insufficient connection to practical applications in real life. A survey showed that 65% of 9th-grade students, 55% of 8th-grade students, and 35% of 7th-grade students consider chemistry to be a more difficult subject than physics or biology. Chemistry is most often associated with interest – 55.2% and fear – 26.5%, while some students feel boredom during lessons – 9.6%. Other emotions mentioned by students included surprise, sadness, and others. Approximately 60% of students believe that chemistry is closely related to other subjects, including physics, mathematics, and biology, while approximately 40% said that there is no such relationship. 15% of students believe that chemical knowledge can be practically applied in daily life, over 60% see only partial usefulness, and 25% consider it insignificant and fail to see any practical benefit. Approximately 75% of students expressed a desire to increase the practical (experimental) component of lessons. Students' self-assessment of their level of skills and knowledge in chemistry indicated that 13% of 7th-grade students, 23% of 8th-grade students, and 5% of 9th-grade students demonstrate a low level of proficiency. A sufficient level was observed in 45%, 54%, and 5%, while an average level was reported by 35%, 20%, and 85% of the students respectively. The article provides practical recommendations for solving difficulties that often arise when studying chemistry and improving the quality of the educational process. © 2025, Precarpathian National University. All rights reserved.","author":[{"dropping-particle":"","family":"Khmel","given":"N","non-dropping-particle":"","parse-names":false,"suffix":""},{"dropping-particle":"","family":"Shpyrka","given":"Z","non-dropping-particle":"","parse-names":false,"suffix":""}],"container-title":"Journal of Vasyl Stefanyk Precarpathian National University","id":"ITEM-3","issue":"1","issued":{"date-parts":[["2025"]]},"note":"Export Date: 12 February 2026; Cited By: 0","page":"151-160","title":"STUDYING CHEMISTRY AT SCHOOL: OVERCOMING CHALLENGES TOGETHER","type":"article-journal","volume":"12"},"uris":["http://www.mendeley.com/documents/?uuid=f56970fc-5e8b-4e12-b8ff-ecda7a295cf2"]}],"mendeley":{"formattedCitation":"(Dghoughi et al., 2025; Khmel &amp; Shpyrka, 2025; Nazhifah &amp; Wiyono, 2024)","manualFormatting":"( Khmel &amp; Shpyrka, 2025)","plainTextFormattedCitation":"(Dghoughi et al., 2025; Khmel &amp; Shpyrka, 2025; Nazhifah &amp; Wiyono, 2024)","previouslyFormattedCitation":"(Dghoughi et al., 2025; Khmel &amp; Shpyrka, 2025; Nazhifah &amp; Wiyono, 2024)"},"properties":{"noteIndex":0},"schema":"https://github.com/citation-style-language/schema/raw/master/csl-citation.json"}</w:instrText>
      </w:r>
      <w:r w:rsidRPr="00A37A64">
        <w:rPr>
          <w:rFonts w:ascii="Times New Roman" w:hAnsi="Times New Roman" w:cs="Times New Roman"/>
          <w:sz w:val="24"/>
          <w:szCs w:val="24"/>
          <w:shd w:val="clear" w:color="auto" w:fill="FFFFFF"/>
        </w:rPr>
        <w:fldChar w:fldCharType="separate"/>
      </w:r>
      <w:r w:rsidRPr="00A37A64">
        <w:rPr>
          <w:rFonts w:ascii="Times New Roman" w:hAnsi="Times New Roman" w:cs="Times New Roman"/>
          <w:sz w:val="24"/>
          <w:szCs w:val="24"/>
          <w:shd w:val="clear" w:color="auto" w:fill="FFFFFF"/>
        </w:rPr>
        <w:t>( Khmel &amp; Shpyrka, 2025)</w:t>
      </w:r>
      <w:r w:rsidRPr="00A37A64">
        <w:rPr>
          <w:rFonts w:ascii="Times New Roman" w:hAnsi="Times New Roman" w:cs="Times New Roman"/>
          <w:sz w:val="24"/>
          <w:szCs w:val="24"/>
          <w:shd w:val="clear" w:color="auto" w:fill="FFFFFF"/>
          <w:lang w:val="id-ID"/>
        </w:rPr>
        <w:fldChar w:fldCharType="end"/>
      </w:r>
      <w:r w:rsidRPr="00A37A64">
        <w:rPr>
          <w:rFonts w:ascii="Times New Roman" w:hAnsi="Times New Roman" w:cs="Times New Roman"/>
          <w:sz w:val="24"/>
          <w:szCs w:val="24"/>
          <w:shd w:val="clear" w:color="auto" w:fill="FFFFFF"/>
        </w:rPr>
        <w:t>. Therefore, an innovative learning approach is needed that is able to shift memorization patterns towards the development of high-level thinking skills in understanding physics concepts in depth.</w:t>
      </w:r>
    </w:p>
    <w:p w14:paraId="759C15AF" w14:textId="3C21080C" w:rsidR="00A37A64" w:rsidRPr="00A37A64" w:rsidRDefault="00A37A64" w:rsidP="00A37A64">
      <w:pPr>
        <w:spacing w:before="120" w:after="120" w:line="240" w:lineRule="auto"/>
        <w:jc w:val="both"/>
        <w:rPr>
          <w:rFonts w:ascii="Times New Roman" w:hAnsi="Times New Roman" w:cs="Times New Roman"/>
          <w:sz w:val="24"/>
          <w:szCs w:val="24"/>
          <w:shd w:val="clear" w:color="auto" w:fill="FFFFFF"/>
        </w:rPr>
      </w:pPr>
      <w:r w:rsidRPr="00A37A64">
        <w:rPr>
          <w:rFonts w:ascii="Times New Roman" w:hAnsi="Times New Roman" w:cs="Times New Roman"/>
          <w:sz w:val="24"/>
          <w:szCs w:val="24"/>
          <w:shd w:val="clear" w:color="auto" w:fill="FFFFFF"/>
        </w:rPr>
        <w:t>The results of the research, and stated that one of the learning models that can develop HOTS is problem base learning (PBL)</w:t>
      </w:r>
      <w:r w:rsidR="00353DE1">
        <w:rPr>
          <w:rFonts w:ascii="Times New Roman" w:hAnsi="Times New Roman" w:cs="Times New Roman"/>
          <w:sz w:val="24"/>
          <w:szCs w:val="24"/>
          <w:shd w:val="clear" w:color="auto" w:fill="FFFFFF"/>
        </w:rPr>
        <w:t xml:space="preserve"> (</w:t>
      </w:r>
      <w:r w:rsidR="00353DE1" w:rsidRPr="00353DE1">
        <w:rPr>
          <w:rFonts w:ascii="Times New Roman" w:hAnsi="Times New Roman" w:cs="Times New Roman"/>
          <w:sz w:val="24"/>
          <w:szCs w:val="24"/>
          <w:shd w:val="clear" w:color="auto" w:fill="FFFFFF"/>
        </w:rPr>
        <w:t>Danis</w:t>
      </w:r>
      <w:r w:rsidR="00353DE1">
        <w:rPr>
          <w:rFonts w:ascii="Times New Roman" w:hAnsi="Times New Roman" w:cs="Times New Roman"/>
          <w:sz w:val="24"/>
          <w:szCs w:val="24"/>
          <w:shd w:val="clear" w:color="auto" w:fill="FFFFFF"/>
        </w:rPr>
        <w:t xml:space="preserve"> et al., 2025; </w:t>
      </w:r>
      <w:r w:rsidR="00353DE1" w:rsidRPr="00353DE1">
        <w:rPr>
          <w:rFonts w:ascii="Times New Roman" w:hAnsi="Times New Roman" w:cs="Times New Roman"/>
          <w:sz w:val="24"/>
          <w:szCs w:val="24"/>
        </w:rPr>
        <w:t>Taufiqurrahman</w:t>
      </w:r>
      <w:r w:rsidR="00353DE1">
        <w:rPr>
          <w:rFonts w:ascii="Times New Roman" w:hAnsi="Times New Roman" w:cs="Times New Roman"/>
          <w:sz w:val="24"/>
          <w:szCs w:val="24"/>
        </w:rPr>
        <w:t xml:space="preserve"> et al., 2025; </w:t>
      </w:r>
      <w:r w:rsidR="00353DE1" w:rsidRPr="00353DE1">
        <w:rPr>
          <w:rFonts w:ascii="Times New Roman" w:hAnsi="Times New Roman" w:cs="Times New Roman"/>
          <w:sz w:val="24"/>
          <w:szCs w:val="24"/>
        </w:rPr>
        <w:t>Gusmiyati</w:t>
      </w:r>
      <w:r w:rsidR="00353DE1">
        <w:rPr>
          <w:rFonts w:ascii="Times New Roman" w:hAnsi="Times New Roman" w:cs="Times New Roman"/>
          <w:sz w:val="24"/>
          <w:szCs w:val="24"/>
        </w:rPr>
        <w:t>, 2026).</w:t>
      </w:r>
      <w:r w:rsidRPr="00A37A64">
        <w:rPr>
          <w:rFonts w:ascii="Times New Roman" w:hAnsi="Times New Roman" w:cs="Times New Roman"/>
          <w:sz w:val="24"/>
          <w:szCs w:val="24"/>
          <w:shd w:val="clear" w:color="auto" w:fill="FFFFFF"/>
        </w:rPr>
        <w:t xml:space="preserve"> PBL is very effective in encouraging students to think deeply and meaningfully, especially when facing problems from their surroundings, because it will trigger group collaboration to develop cognitive capacity ranging from research to solution formulation. More so, PBL also encourages learners to process information on their own and build a personal understanding of the social environment and the world around them, thus making it the perfect model for developing </w:t>
      </w:r>
      <w:r w:rsidR="00353DE1">
        <w:rPr>
          <w:rFonts w:ascii="Times New Roman" w:hAnsi="Times New Roman" w:cs="Times New Roman"/>
          <w:sz w:val="24"/>
          <w:szCs w:val="24"/>
          <w:shd w:val="clear" w:color="auto" w:fill="FFFFFF"/>
        </w:rPr>
        <w:t>knowledge (</w:t>
      </w:r>
      <w:r w:rsidR="00353DE1" w:rsidRPr="00353DE1">
        <w:rPr>
          <w:rFonts w:ascii="Times New Roman" w:hAnsi="Times New Roman" w:cs="Times New Roman"/>
          <w:sz w:val="24"/>
          <w:szCs w:val="24"/>
          <w:shd w:val="clear" w:color="auto" w:fill="FFFFFF"/>
        </w:rPr>
        <w:t>Okada</w:t>
      </w:r>
      <w:r w:rsidR="00353DE1">
        <w:rPr>
          <w:rFonts w:ascii="Times New Roman" w:hAnsi="Times New Roman" w:cs="Times New Roman"/>
          <w:sz w:val="24"/>
          <w:szCs w:val="24"/>
          <w:shd w:val="clear" w:color="auto" w:fill="FFFFFF"/>
        </w:rPr>
        <w:t xml:space="preserve"> et al., 2025; </w:t>
      </w:r>
      <w:r w:rsidR="00353DE1" w:rsidRPr="00353DE1">
        <w:rPr>
          <w:rFonts w:ascii="Times New Roman" w:hAnsi="Times New Roman" w:cs="Times New Roman"/>
          <w:sz w:val="24"/>
          <w:szCs w:val="24"/>
        </w:rPr>
        <w:t>Firmansyah</w:t>
      </w:r>
      <w:r w:rsidR="00353DE1">
        <w:rPr>
          <w:rFonts w:ascii="Times New Roman" w:hAnsi="Times New Roman" w:cs="Times New Roman"/>
          <w:sz w:val="24"/>
          <w:szCs w:val="24"/>
        </w:rPr>
        <w:t xml:space="preserve">, 2025; </w:t>
      </w:r>
      <w:r w:rsidR="00353DE1" w:rsidRPr="00353DE1">
        <w:rPr>
          <w:rFonts w:ascii="Times New Roman" w:hAnsi="Times New Roman" w:cs="Times New Roman"/>
          <w:sz w:val="24"/>
          <w:szCs w:val="24"/>
        </w:rPr>
        <w:t>Baum</w:t>
      </w:r>
      <w:r w:rsidR="00353DE1">
        <w:rPr>
          <w:rFonts w:ascii="Times New Roman" w:hAnsi="Times New Roman" w:cs="Times New Roman"/>
          <w:sz w:val="24"/>
          <w:szCs w:val="24"/>
        </w:rPr>
        <w:t xml:space="preserve"> et al., 2024).</w:t>
      </w:r>
    </w:p>
    <w:p w14:paraId="7FF8DC32" w14:textId="6003047B" w:rsidR="00A37A64" w:rsidRPr="00A37A64" w:rsidRDefault="00A37A64" w:rsidP="00A37A64">
      <w:pPr>
        <w:spacing w:before="120" w:after="120" w:line="240" w:lineRule="auto"/>
        <w:jc w:val="both"/>
        <w:rPr>
          <w:rFonts w:ascii="Times New Roman" w:hAnsi="Times New Roman" w:cs="Times New Roman"/>
          <w:sz w:val="24"/>
          <w:szCs w:val="24"/>
          <w:shd w:val="clear" w:color="auto" w:fill="FFFFFF"/>
        </w:rPr>
      </w:pPr>
      <w:r w:rsidRPr="00A37A64">
        <w:rPr>
          <w:rFonts w:ascii="Times New Roman" w:hAnsi="Times New Roman" w:cs="Times New Roman"/>
          <w:sz w:val="24"/>
          <w:szCs w:val="24"/>
          <w:shd w:val="clear" w:color="auto" w:fill="FFFFFF"/>
        </w:rPr>
        <w:t>In the 21st century era and the industrial revolution 5.0, teachers are required to master and utilize technology in learning, using various technological devices, to facilitate the learning process. The use of technology in learning is very important to develop HOTS. This knowledge, which integrates the use of technology in learning, is known as technological pedagogical content knowledge (TPACK), and this approach is essential to improve the quality of learning processes and outcomes</w:t>
      </w:r>
      <w:r w:rsidR="00353DE1">
        <w:rPr>
          <w:rFonts w:ascii="Times New Roman" w:hAnsi="Times New Roman" w:cs="Times New Roman"/>
          <w:sz w:val="24"/>
          <w:szCs w:val="24"/>
          <w:shd w:val="clear" w:color="auto" w:fill="FFFFFF"/>
        </w:rPr>
        <w:t xml:space="preserve"> (</w:t>
      </w:r>
      <w:r w:rsidR="00353DE1" w:rsidRPr="00353DE1">
        <w:rPr>
          <w:rFonts w:ascii="Times New Roman" w:hAnsi="Times New Roman" w:cs="Times New Roman"/>
          <w:sz w:val="24"/>
          <w:szCs w:val="24"/>
          <w:shd w:val="clear" w:color="auto" w:fill="FFFFFF"/>
        </w:rPr>
        <w:t>Jibril</w:t>
      </w:r>
      <w:r w:rsidR="00353DE1">
        <w:rPr>
          <w:rFonts w:ascii="Times New Roman" w:hAnsi="Times New Roman" w:cs="Times New Roman"/>
          <w:sz w:val="24"/>
          <w:szCs w:val="24"/>
          <w:shd w:val="clear" w:color="auto" w:fill="FFFFFF"/>
        </w:rPr>
        <w:t xml:space="preserve"> &amp; </w:t>
      </w:r>
      <w:r w:rsidR="00353DE1" w:rsidRPr="00353DE1">
        <w:rPr>
          <w:rFonts w:ascii="Times New Roman" w:hAnsi="Times New Roman" w:cs="Times New Roman"/>
          <w:sz w:val="24"/>
          <w:szCs w:val="24"/>
        </w:rPr>
        <w:t>Adedokun-Shittu</w:t>
      </w:r>
      <w:r w:rsidR="00353DE1">
        <w:rPr>
          <w:rFonts w:ascii="Times New Roman" w:hAnsi="Times New Roman" w:cs="Times New Roman"/>
          <w:sz w:val="24"/>
          <w:szCs w:val="24"/>
        </w:rPr>
        <w:t xml:space="preserve">, 2024; </w:t>
      </w:r>
      <w:r w:rsidR="00353DE1" w:rsidRPr="00353DE1">
        <w:rPr>
          <w:rFonts w:ascii="Times New Roman" w:hAnsi="Times New Roman" w:cs="Times New Roman"/>
          <w:sz w:val="24"/>
          <w:szCs w:val="24"/>
        </w:rPr>
        <w:t>Sihanita</w:t>
      </w:r>
      <w:r w:rsidR="00353DE1">
        <w:rPr>
          <w:rFonts w:ascii="Times New Roman" w:hAnsi="Times New Roman" w:cs="Times New Roman"/>
          <w:sz w:val="24"/>
          <w:szCs w:val="24"/>
        </w:rPr>
        <w:t xml:space="preserve"> et al., 2024; </w:t>
      </w:r>
      <w:r w:rsidR="00353DE1" w:rsidRPr="00353DE1">
        <w:rPr>
          <w:rFonts w:ascii="Times New Roman" w:hAnsi="Times New Roman" w:cs="Times New Roman"/>
          <w:sz w:val="24"/>
          <w:szCs w:val="24"/>
        </w:rPr>
        <w:t>Thohir</w:t>
      </w:r>
      <w:r w:rsidR="00353DE1">
        <w:rPr>
          <w:rFonts w:ascii="Times New Roman" w:hAnsi="Times New Roman" w:cs="Times New Roman"/>
          <w:sz w:val="24"/>
          <w:szCs w:val="24"/>
        </w:rPr>
        <w:t xml:space="preserve"> et al., 2022).</w:t>
      </w:r>
      <w:r w:rsidR="00353DE1">
        <w:rPr>
          <w:rFonts w:ascii="Times New Roman" w:hAnsi="Times New Roman" w:cs="Times New Roman"/>
          <w:sz w:val="24"/>
          <w:szCs w:val="24"/>
          <w:shd w:val="clear" w:color="auto" w:fill="FFFFFF"/>
        </w:rPr>
        <w:t xml:space="preserve"> </w:t>
      </w:r>
      <w:r w:rsidRPr="00A37A64">
        <w:rPr>
          <w:rFonts w:ascii="Times New Roman" w:hAnsi="Times New Roman" w:cs="Times New Roman"/>
          <w:sz w:val="24"/>
          <w:szCs w:val="24"/>
          <w:shd w:val="clear" w:color="auto" w:fill="FFFFFF"/>
        </w:rPr>
        <w:t xml:space="preserve">Various studies, both in Indonesia and abroad, have researched a lot about TPACK. Some of these are research by </w:t>
      </w:r>
      <w:sdt>
        <w:sdtPr>
          <w:rPr>
            <w:rFonts w:ascii="Times New Roman" w:hAnsi="Times New Roman" w:cs="Times New Roman"/>
            <w:sz w:val="24"/>
            <w:szCs w:val="24"/>
            <w:shd w:val="clear" w:color="auto" w:fill="FFFFFF"/>
          </w:rPr>
          <w:tag w:val="MENDELEY_CITATION_v3_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"/>
          <w:id w:val="-936289078"/>
          <w:placeholder>
            <w:docPart w:val="FFAA163F340F4E32A9AF0E55E74CC5B1"/>
          </w:placeholder>
        </w:sdtPr>
        <w:sdtContent>
          <w:r w:rsidRPr="00A37A64">
            <w:rPr>
              <w:rFonts w:ascii="Times New Roman" w:hAnsi="Times New Roman" w:cs="Times New Roman"/>
              <w:sz w:val="24"/>
              <w:szCs w:val="24"/>
              <w:shd w:val="clear" w:color="auto" w:fill="FFFFFF"/>
            </w:rPr>
            <w:t xml:space="preserve">(Joshi, 2023)  </w:t>
          </w:r>
        </w:sdtContent>
      </w:sdt>
      <w:r w:rsidRPr="00A37A64">
        <w:rPr>
          <w:rFonts w:ascii="Times New Roman" w:hAnsi="Times New Roman" w:cs="Times New Roman"/>
          <w:sz w:val="24"/>
          <w:szCs w:val="24"/>
          <w:shd w:val="clear" w:color="auto" w:fill="FFFFFF"/>
        </w:rPr>
        <w:t>that confirms and expands understanding of how TPACK empowers teachers to face the challenges of teaching in the digital age.</w:t>
      </w:r>
    </w:p>
    <w:p w14:paraId="092473A9" w14:textId="77777777" w:rsidR="00A37A64" w:rsidRPr="00A37A64" w:rsidRDefault="00A37A64" w:rsidP="00A37A64">
      <w:pPr>
        <w:spacing w:before="120" w:after="120" w:line="240" w:lineRule="auto"/>
        <w:jc w:val="both"/>
        <w:rPr>
          <w:rFonts w:ascii="Times New Roman" w:hAnsi="Times New Roman" w:cs="Times New Roman"/>
          <w:sz w:val="24"/>
          <w:szCs w:val="24"/>
          <w:shd w:val="clear" w:color="auto" w:fill="FFFFFF"/>
        </w:rPr>
      </w:pPr>
      <w:r w:rsidRPr="00A37A64">
        <w:rPr>
          <w:rFonts w:ascii="Times New Roman" w:hAnsi="Times New Roman" w:cs="Times New Roman"/>
          <w:sz w:val="24"/>
          <w:szCs w:val="24"/>
          <w:shd w:val="clear" w:color="auto" w:fill="FFFFFF"/>
        </w:rPr>
        <w:t>However, the existing literature suggests that research on increasing HOTS through PBL and TPACK is often conducted separately. Previous research has generally explored how PBL is effective in encouraging HOTS through problem-solving and teamwork. Meanwhile, studies on TPACK have more emphasis on the role of technology integration in teachers' teaching methods to improve the quality of learning and outcomes, including HOTS. There is a gap in previous research, namely the lack of research that clearly examines how the combination of PBL and TPACK can increase students' HOTS, especially in physics lessons that are often considered difficult</w:t>
      </w:r>
      <w:sdt>
        <w:sdtPr>
          <w:rPr>
            <w:rFonts w:ascii="Times New Roman" w:hAnsi="Times New Roman" w:cs="Times New Roman"/>
            <w:sz w:val="24"/>
            <w:szCs w:val="24"/>
            <w:shd w:val="clear" w:color="auto" w:fill="FFFFFF"/>
          </w:rPr>
          <w:tag w:val="MENDELEY_CITATION_v3_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"/>
          <w:id w:val="-818962415"/>
          <w:placeholder>
            <w:docPart w:val="2B602B37CD34451B9366ED800C8DDBB2"/>
          </w:placeholder>
        </w:sdtPr>
        <w:sdtContent>
          <w:r w:rsidRPr="00A37A64">
            <w:rPr>
              <w:rFonts w:ascii="Times New Roman" w:hAnsi="Times New Roman" w:cs="Times New Roman"/>
              <w:sz w:val="24"/>
              <w:szCs w:val="24"/>
              <w:shd w:val="clear" w:color="auto" w:fill="FFFFFF"/>
            </w:rPr>
            <w:t xml:space="preserve"> (Turnuklu &amp; Yesildere, 2007).  </w:t>
          </w:r>
        </w:sdtContent>
      </w:sdt>
    </w:p>
    <w:p w14:paraId="7F622FF8" w14:textId="5675D9DC" w:rsidR="00C22E2E" w:rsidRDefault="00A37A64" w:rsidP="00A37A64">
      <w:pPr>
        <w:spacing w:before="120" w:after="120" w:line="240" w:lineRule="auto"/>
        <w:jc w:val="both"/>
        <w:rPr>
          <w:rFonts w:ascii="Times New Roman" w:hAnsi="Times New Roman" w:cs="Times New Roman"/>
          <w:sz w:val="24"/>
          <w:szCs w:val="24"/>
          <w:shd w:val="clear" w:color="auto" w:fill="FFFFFF"/>
        </w:rPr>
      </w:pPr>
      <w:r w:rsidRPr="00A37A64">
        <w:rPr>
          <w:rFonts w:ascii="Times New Roman" w:hAnsi="Times New Roman" w:cs="Times New Roman"/>
          <w:sz w:val="24"/>
          <w:szCs w:val="24"/>
          <w:shd w:val="clear" w:color="auto" w:fill="FFFFFF"/>
        </w:rPr>
        <w:t xml:space="preserve">Seeing the lack of studies that specifically integrate PBL and TPACK, this study is here to fill this gap by investigating how the application of PBL integrated with TPACK can increase the HOTS of students in class XI MAN 1 Jambi City on newton's legal material. The novelty of this research lies in the integration of PBL and TPACK, which not only tests the effectiveness of PBL, but also analyzes the role of TPACK in optimizing its implementation. Thus, this research is expected to make a significant contribution to formulating physics learning strategies that are more relevant and adaptive in the digital era, as well as a foothold for curriculum development and teacher training that focuses on integrating pedagogy, content, </w:t>
      </w:r>
      <w:r w:rsidRPr="00A37A64">
        <w:rPr>
          <w:rFonts w:ascii="Times New Roman" w:hAnsi="Times New Roman" w:cs="Times New Roman"/>
          <w:sz w:val="24"/>
          <w:szCs w:val="24"/>
          <w:shd w:val="clear" w:color="auto" w:fill="FFFFFF"/>
        </w:rPr>
        <w:lastRenderedPageBreak/>
        <w:t>and technology to produce a generation that is not only cognitively intelligent, but also ready to face real world complexities.</w:t>
      </w:r>
      <w:bookmarkEnd w:id="7"/>
    </w:p>
    <w:p w14:paraId="204B0EFD" w14:textId="61AC9E3E" w:rsidR="00803108" w:rsidRPr="00987715" w:rsidRDefault="001B2EE9" w:rsidP="00987715">
      <w:pPr>
        <w:spacing w:before="120" w:after="120" w:line="240" w:lineRule="auto"/>
        <w:jc w:val="both"/>
        <w:rPr>
          <w:rFonts w:ascii="Times New Roman" w:eastAsia="Times New Roman" w:hAnsi="Times New Roman" w:cs="Times New Roman"/>
          <w:b/>
          <w:color w:val="0070C0"/>
          <w:sz w:val="24"/>
          <w:szCs w:val="24"/>
        </w:rPr>
      </w:pPr>
      <w:r w:rsidRPr="00987715">
        <w:rPr>
          <w:rFonts w:ascii="Times New Roman" w:eastAsia="Times New Roman" w:hAnsi="Times New Roman" w:cs="Times New Roman"/>
          <w:b/>
          <w:color w:val="0070C0"/>
          <w:sz w:val="24"/>
          <w:szCs w:val="24"/>
        </w:rPr>
        <w:t>Methods</w:t>
      </w:r>
    </w:p>
    <w:p w14:paraId="131428F7" w14:textId="77777777" w:rsidR="00A37A64" w:rsidRPr="00A37A64" w:rsidRDefault="00A37A64" w:rsidP="00A37A64">
      <w:pPr>
        <w:tabs>
          <w:tab w:val="left" w:pos="0"/>
        </w:tabs>
        <w:spacing w:before="120" w:after="120" w:line="240" w:lineRule="auto"/>
        <w:jc w:val="both"/>
        <w:rPr>
          <w:rFonts w:ascii="Times New Roman" w:hAnsi="Times New Roman" w:cs="Times New Roman"/>
          <w:sz w:val="24"/>
          <w:szCs w:val="24"/>
          <w:lang w:val="en-US"/>
        </w:rPr>
      </w:pPr>
      <w:bookmarkStart w:id="8" w:name="_Hlk207040125"/>
      <w:r w:rsidRPr="00A37A64">
        <w:rPr>
          <w:rFonts w:ascii="Times New Roman" w:hAnsi="Times New Roman" w:cs="Times New Roman"/>
          <w:sz w:val="24"/>
          <w:szCs w:val="24"/>
          <w:lang w:val="en-US"/>
        </w:rPr>
        <w:t>This study employed a quasi experimental method using a three group pretest posttest design to examine the effectiveness of Problem Based Learning integrated with Technological Pedagogical Content Knowledge (TPACK) in improving students’ Higher Order Thinking Skills (HOTS) on Newton’s Law material. The study was conducted at MAN 1 Jambi City during the 2025 academic year.</w:t>
      </w:r>
    </w:p>
    <w:p w14:paraId="07744248" w14:textId="77777777" w:rsidR="00A37A64" w:rsidRPr="00A37A64" w:rsidRDefault="00A37A64" w:rsidP="00A37A64">
      <w:pPr>
        <w:tabs>
          <w:tab w:val="left" w:pos="0"/>
        </w:tabs>
        <w:spacing w:before="120" w:after="120" w:line="240" w:lineRule="auto"/>
        <w:jc w:val="both"/>
        <w:rPr>
          <w:rFonts w:ascii="Times New Roman" w:hAnsi="Times New Roman" w:cs="Times New Roman"/>
          <w:sz w:val="24"/>
          <w:szCs w:val="24"/>
          <w:lang w:val="en-US"/>
        </w:rPr>
      </w:pPr>
      <w:r w:rsidRPr="00A37A64">
        <w:rPr>
          <w:rFonts w:ascii="Times New Roman" w:hAnsi="Times New Roman" w:cs="Times New Roman"/>
          <w:sz w:val="24"/>
          <w:szCs w:val="24"/>
          <w:lang w:val="en-US"/>
        </w:rPr>
        <w:t>The population consisted of all Grade XI students enrolled in physics classes at MAN 1 Jambi City. Since the population size was relatively small, total sampling was employed. A total of 65 students participated in the study and were distributed across three existing classes. Class XI.A, consisting of 22 students, was assigned as Experimental Group 1 and received instruction through TPACK integrated Problem Based Learning. Class XI.B, consisting of 22 students, served as Experimental Group 2 and received instruction through Problem Based Learning without explicit TPACK integration. Class XI.C, consisting of 21 students, served as the control group and was taught using conventional teacher centered instruction.</w:t>
      </w:r>
    </w:p>
    <w:p w14:paraId="121F80A0" w14:textId="77777777" w:rsidR="00A37A64" w:rsidRPr="00A37A64" w:rsidRDefault="00A37A64" w:rsidP="00A37A64">
      <w:pPr>
        <w:tabs>
          <w:tab w:val="left" w:pos="0"/>
        </w:tabs>
        <w:spacing w:before="120" w:after="120" w:line="240" w:lineRule="auto"/>
        <w:jc w:val="both"/>
        <w:rPr>
          <w:rFonts w:ascii="Times New Roman" w:hAnsi="Times New Roman" w:cs="Times New Roman"/>
          <w:sz w:val="24"/>
          <w:szCs w:val="24"/>
          <w:lang w:val="en-US"/>
        </w:rPr>
      </w:pPr>
      <w:r w:rsidRPr="00A37A64">
        <w:rPr>
          <w:rFonts w:ascii="Times New Roman" w:hAnsi="Times New Roman" w:cs="Times New Roman"/>
          <w:sz w:val="24"/>
          <w:szCs w:val="24"/>
          <w:lang w:val="en-US"/>
        </w:rPr>
        <w:t>The independent variable of the study was the learning model implemented in each class, while the dependent variable was students’ Higher Order Thinking Skills (HOTS). HOTS was assessed according to the revised Bloom’s Taxonomy, focusing on three cognitive dimensions, namely analyzing (C4), evaluating (C5), and creating (C6).</w:t>
      </w:r>
    </w:p>
    <w:p w14:paraId="5D964401" w14:textId="77777777" w:rsidR="00A37A64" w:rsidRPr="00A37A64" w:rsidRDefault="00A37A64" w:rsidP="00A37A64">
      <w:pPr>
        <w:tabs>
          <w:tab w:val="left" w:pos="0"/>
        </w:tabs>
        <w:spacing w:before="120" w:after="120" w:line="240" w:lineRule="auto"/>
        <w:jc w:val="both"/>
        <w:rPr>
          <w:rFonts w:ascii="Times New Roman" w:hAnsi="Times New Roman" w:cs="Times New Roman"/>
          <w:sz w:val="24"/>
          <w:szCs w:val="24"/>
          <w:lang w:val="en-US"/>
        </w:rPr>
      </w:pPr>
      <w:r w:rsidRPr="00A37A64">
        <w:rPr>
          <w:rFonts w:ascii="Times New Roman" w:hAnsi="Times New Roman" w:cs="Times New Roman"/>
          <w:sz w:val="24"/>
          <w:szCs w:val="24"/>
          <w:lang w:val="en-US"/>
        </w:rPr>
        <w:t>To measure students’ HOTS, a pretest and posttest were administered before and after the instructional intervention. The test instrument consisted of essay and problem solving items related to Newton’s Laws designed to assess students’ abilities in analyzing physical phenomena, evaluating alternative solutions, and generating scientific explanations. The same HOTS indicators were used in both the pretest and posttest to enable comparison of learning gains across groups.</w:t>
      </w:r>
    </w:p>
    <w:p w14:paraId="68BBB7F2" w14:textId="77777777" w:rsidR="00A37A64" w:rsidRPr="00A37A64" w:rsidRDefault="00A37A64" w:rsidP="00A37A64">
      <w:pPr>
        <w:tabs>
          <w:tab w:val="left" w:pos="0"/>
        </w:tabs>
        <w:spacing w:before="120" w:after="120" w:line="240" w:lineRule="auto"/>
        <w:jc w:val="both"/>
        <w:rPr>
          <w:rFonts w:ascii="Times New Roman" w:hAnsi="Times New Roman" w:cs="Times New Roman"/>
          <w:sz w:val="24"/>
          <w:szCs w:val="24"/>
          <w:lang w:val="en-US"/>
        </w:rPr>
      </w:pPr>
      <w:r w:rsidRPr="00A37A64">
        <w:rPr>
          <w:rFonts w:ascii="Times New Roman" w:hAnsi="Times New Roman" w:cs="Times New Roman"/>
          <w:sz w:val="24"/>
          <w:szCs w:val="24"/>
          <w:lang w:val="en-US"/>
        </w:rPr>
        <w:t>The instructional intervention was implemented during the Newton’s Law unit. In Experimental Group 1, Problem Based Learning activities were integrated with TPACK principles through the use of various digital learning technologies, including PhET simulations, Google Sites, Baamboozle, and ClassDojo. These technologies were utilized to facilitate problem exploration, concept visualization, collaborative investigation, formative assessment, and classroom interaction. In Experimental Group 2, students engaged in Problem Based Learning activities following the same problem solving stages but without the integration of digital technologies. Meanwhile, students in the control group received conventional instruction consisting primarily of teacher explanation, textbook based learning, and question answer activities.</w:t>
      </w:r>
    </w:p>
    <w:p w14:paraId="048CBA1A" w14:textId="77777777" w:rsidR="00A37A64" w:rsidRPr="00A37A64" w:rsidRDefault="00A37A64" w:rsidP="00A37A64">
      <w:pPr>
        <w:tabs>
          <w:tab w:val="left" w:pos="0"/>
        </w:tabs>
        <w:spacing w:before="120" w:after="120" w:line="240" w:lineRule="auto"/>
        <w:jc w:val="both"/>
        <w:rPr>
          <w:rFonts w:ascii="Times New Roman" w:hAnsi="Times New Roman" w:cs="Times New Roman"/>
          <w:sz w:val="24"/>
          <w:szCs w:val="24"/>
          <w:lang w:val="en-US"/>
        </w:rPr>
      </w:pPr>
      <w:r w:rsidRPr="00A37A64">
        <w:rPr>
          <w:rFonts w:ascii="Times New Roman" w:hAnsi="Times New Roman" w:cs="Times New Roman"/>
          <w:sz w:val="24"/>
          <w:szCs w:val="24"/>
          <w:lang w:val="en-US"/>
        </w:rPr>
        <w:t>The collected data were analyzed quantitatively using descriptive and inferential statistics. Descriptive statistics included the calculation of mean scores, standard deviations, variances, minimum scores, and maximum scores for both pretest and posttest results. Prior to hypothesis testing, assumption testing was conducted. Data normality was examined using the Shapiro Wilk test, while homogeneity of variance was assessed through Levene’s Test. The normality analysis indicated significance values below 0.05 in all groups, suggesting that the posttest data were not normally distributed. Although visual inspection through Normal Q-Q Plots indicated that the deviations from normality were not severe, the violation of the normality assumption justified the use of nonparametric statistical procedures. The homogeneity test produced a significance value of 0.331, indicating homogeneous variances among groups.</w:t>
      </w:r>
    </w:p>
    <w:p w14:paraId="22640AC2" w14:textId="39927A8C" w:rsidR="00A37A64" w:rsidRPr="00065A0C" w:rsidRDefault="00A37A64" w:rsidP="00A37A64">
      <w:pPr>
        <w:tabs>
          <w:tab w:val="left" w:pos="0"/>
        </w:tabs>
        <w:spacing w:before="120" w:after="120" w:line="240" w:lineRule="auto"/>
        <w:jc w:val="both"/>
        <w:rPr>
          <w:rFonts w:ascii="Times New Roman" w:hAnsi="Times New Roman" w:cs="Times New Roman"/>
          <w:sz w:val="24"/>
          <w:szCs w:val="24"/>
          <w:lang w:val="en-US"/>
        </w:rPr>
      </w:pPr>
      <w:r w:rsidRPr="00A37A64">
        <w:rPr>
          <w:rFonts w:ascii="Times New Roman" w:hAnsi="Times New Roman" w:cs="Times New Roman"/>
          <w:sz w:val="24"/>
          <w:szCs w:val="24"/>
          <w:lang w:val="en-US"/>
        </w:rPr>
        <w:lastRenderedPageBreak/>
        <w:t>Consequently, differences in HOTS achievement among the three groups were analyzed using the Kruskal Wallis H test. When significant differences were identified, pairwise comparisons were conducted using post hoc analysis to determine which groups differed significantly from one another. In addition, effect size analysis was performed using Epsilon Squared (ε²) to determine the magnitude of the practical effect of the intervention. Statistical analyses were conducted using SPSS software with a significance level of 0.05.</w:t>
      </w:r>
    </w:p>
    <w:tbl>
      <w:tblPr>
        <w:tblStyle w:val="PlainTable4"/>
        <w:tblW w:w="0" w:type="auto"/>
        <w:tblLook w:val="04A0" w:firstRow="1" w:lastRow="0" w:firstColumn="1" w:lastColumn="0" w:noHBand="0" w:noVBand="1"/>
      </w:tblPr>
      <w:tblGrid>
        <w:gridCol w:w="3011"/>
        <w:gridCol w:w="2979"/>
        <w:gridCol w:w="3036"/>
      </w:tblGrid>
      <w:tr w:rsidR="00A37A64" w:rsidRPr="00A37A64" w14:paraId="7501C7E6" w14:textId="77777777" w:rsidTr="00AE767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05" w:type="dxa"/>
          </w:tcPr>
          <w:p w14:paraId="72FD6999" w14:textId="77777777" w:rsidR="00A37A64" w:rsidRPr="00A37A64" w:rsidRDefault="00A37A64" w:rsidP="00A37A64">
            <w:pPr>
              <w:tabs>
                <w:tab w:val="left" w:pos="0"/>
              </w:tabs>
              <w:spacing w:before="120" w:after="120"/>
              <w:jc w:val="both"/>
              <w:rPr>
                <w:rFonts w:ascii="Times New Roman" w:hAnsi="Times New Roman" w:cs="Times New Roman"/>
                <w:sz w:val="24"/>
                <w:szCs w:val="24"/>
              </w:rPr>
            </w:pPr>
            <w:r w:rsidRPr="00A37A64">
              <w:rPr>
                <w:rFonts w:ascii="Times New Roman" w:hAnsi="Times New Roman" w:cs="Times New Roman"/>
                <w:noProof/>
                <w:sz w:val="24"/>
                <w:szCs w:val="24"/>
              </w:rPr>
              <w:drawing>
                <wp:inline distT="0" distB="0" distL="0" distR="0" wp14:anchorId="2D349745" wp14:editId="559BEEC2">
                  <wp:extent cx="1775294" cy="1047750"/>
                  <wp:effectExtent l="0" t="0" r="0" b="0"/>
                  <wp:docPr id="205815316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8153165" name=""/>
                          <pic:cNvPicPr/>
                        </pic:nvPicPr>
                        <pic:blipFill>
                          <a:blip r:embed="rId12"/>
                          <a:stretch>
                            <a:fillRect/>
                          </a:stretch>
                        </pic:blipFill>
                        <pic:spPr>
                          <a:xfrm>
                            <a:off x="0" y="0"/>
                            <a:ext cx="1781986" cy="1051699"/>
                          </a:xfrm>
                          <a:prstGeom prst="rect">
                            <a:avLst/>
                          </a:prstGeom>
                        </pic:spPr>
                      </pic:pic>
                    </a:graphicData>
                  </a:graphic>
                </wp:inline>
              </w:drawing>
            </w:r>
          </w:p>
        </w:tc>
        <w:tc>
          <w:tcPr>
            <w:tcW w:w="3005" w:type="dxa"/>
          </w:tcPr>
          <w:p w14:paraId="7EC90A77" w14:textId="77777777" w:rsidR="00A37A64" w:rsidRPr="00A37A64" w:rsidRDefault="00A37A64" w:rsidP="00A37A64">
            <w:pPr>
              <w:tabs>
                <w:tab w:val="left" w:pos="0"/>
              </w:tabs>
              <w:spacing w:before="120" w:after="120"/>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A37A64">
              <w:rPr>
                <w:rFonts w:ascii="Times New Roman" w:hAnsi="Times New Roman" w:cs="Times New Roman"/>
                <w:noProof/>
                <w:sz w:val="24"/>
                <w:szCs w:val="24"/>
              </w:rPr>
              <w:drawing>
                <wp:inline distT="0" distB="0" distL="0" distR="0" wp14:anchorId="5A236742" wp14:editId="1B3D4691">
                  <wp:extent cx="1753775" cy="1035050"/>
                  <wp:effectExtent l="0" t="0" r="0" b="0"/>
                  <wp:docPr id="22728256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7282563" name=""/>
                          <pic:cNvPicPr/>
                        </pic:nvPicPr>
                        <pic:blipFill>
                          <a:blip r:embed="rId13"/>
                          <a:stretch>
                            <a:fillRect/>
                          </a:stretch>
                        </pic:blipFill>
                        <pic:spPr>
                          <a:xfrm>
                            <a:off x="0" y="0"/>
                            <a:ext cx="1776394" cy="1048399"/>
                          </a:xfrm>
                          <a:prstGeom prst="rect">
                            <a:avLst/>
                          </a:prstGeom>
                        </pic:spPr>
                      </pic:pic>
                    </a:graphicData>
                  </a:graphic>
                </wp:inline>
              </w:drawing>
            </w:r>
          </w:p>
        </w:tc>
        <w:tc>
          <w:tcPr>
            <w:tcW w:w="3006" w:type="dxa"/>
          </w:tcPr>
          <w:p w14:paraId="01A3690D" w14:textId="77777777" w:rsidR="00A37A64" w:rsidRPr="00A37A64" w:rsidRDefault="00A37A64" w:rsidP="00A37A64">
            <w:pPr>
              <w:tabs>
                <w:tab w:val="left" w:pos="0"/>
              </w:tabs>
              <w:spacing w:before="120" w:after="120"/>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A37A64">
              <w:rPr>
                <w:rFonts w:ascii="Times New Roman" w:hAnsi="Times New Roman" w:cs="Times New Roman"/>
                <w:noProof/>
                <w:sz w:val="24"/>
                <w:szCs w:val="24"/>
              </w:rPr>
              <w:drawing>
                <wp:inline distT="0" distB="0" distL="0" distR="0" wp14:anchorId="18C8D842" wp14:editId="6C1D1C90">
                  <wp:extent cx="1786054" cy="1054100"/>
                  <wp:effectExtent l="0" t="0" r="5080" b="0"/>
                  <wp:docPr id="92610697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6106979" name=""/>
                          <pic:cNvPicPr/>
                        </pic:nvPicPr>
                        <pic:blipFill>
                          <a:blip r:embed="rId14"/>
                          <a:stretch>
                            <a:fillRect/>
                          </a:stretch>
                        </pic:blipFill>
                        <pic:spPr>
                          <a:xfrm>
                            <a:off x="0" y="0"/>
                            <a:ext cx="1802567" cy="1063846"/>
                          </a:xfrm>
                          <a:prstGeom prst="rect">
                            <a:avLst/>
                          </a:prstGeom>
                        </pic:spPr>
                      </pic:pic>
                    </a:graphicData>
                  </a:graphic>
                </wp:inline>
              </w:drawing>
            </w:r>
          </w:p>
        </w:tc>
      </w:tr>
    </w:tbl>
    <w:p w14:paraId="605EBAE4" w14:textId="2E981922" w:rsidR="00A37A64" w:rsidRPr="00A37A64" w:rsidRDefault="00A37A64" w:rsidP="00A37A64">
      <w:pPr>
        <w:tabs>
          <w:tab w:val="left" w:pos="0"/>
        </w:tabs>
        <w:spacing w:before="120" w:after="120" w:line="240" w:lineRule="auto"/>
        <w:jc w:val="center"/>
        <w:rPr>
          <w:rFonts w:ascii="Times New Roman" w:hAnsi="Times New Roman" w:cs="Times New Roman"/>
          <w:i/>
          <w:iCs/>
        </w:rPr>
      </w:pPr>
      <w:r w:rsidRPr="00A37A64">
        <w:rPr>
          <w:rFonts w:ascii="Times New Roman" w:hAnsi="Times New Roman" w:cs="Times New Roman"/>
          <w:i/>
          <w:iCs/>
        </w:rPr>
        <w:t>Figure 1.</w:t>
      </w:r>
      <w:r>
        <w:rPr>
          <w:rFonts w:ascii="Times New Roman" w:hAnsi="Times New Roman" w:cs="Times New Roman"/>
          <w:i/>
          <w:iCs/>
        </w:rPr>
        <w:t xml:space="preserve"> </w:t>
      </w:r>
      <w:r w:rsidRPr="00A37A64">
        <w:rPr>
          <w:rFonts w:ascii="Times New Roman" w:hAnsi="Times New Roman" w:cs="Times New Roman"/>
          <w:i/>
          <w:iCs/>
        </w:rPr>
        <w:t>Normal Q-Q Plot Value Distribution in Each Group</w:t>
      </w:r>
    </w:p>
    <w:bookmarkEnd w:id="8"/>
    <w:p w14:paraId="29475DEE" w14:textId="44937967" w:rsidR="001351D3" w:rsidRPr="001351D3" w:rsidRDefault="001351D3" w:rsidP="001351D3">
      <w:pPr>
        <w:tabs>
          <w:tab w:val="left" w:pos="0"/>
        </w:tabs>
        <w:spacing w:before="120" w:after="120" w:line="240" w:lineRule="auto"/>
        <w:jc w:val="both"/>
        <w:rPr>
          <w:rFonts w:ascii="Times New Roman" w:hAnsi="Times New Roman" w:cs="Times New Roman"/>
          <w:b/>
          <w:color w:val="0070C0"/>
          <w:sz w:val="24"/>
          <w:szCs w:val="24"/>
        </w:rPr>
      </w:pPr>
      <w:r w:rsidRPr="001351D3">
        <w:rPr>
          <w:rFonts w:ascii="Times New Roman" w:hAnsi="Times New Roman" w:cs="Times New Roman"/>
          <w:b/>
          <w:color w:val="0070C0"/>
          <w:sz w:val="24"/>
          <w:szCs w:val="24"/>
        </w:rPr>
        <w:t>Results and Discussion</w:t>
      </w:r>
    </w:p>
    <w:p w14:paraId="112D1AEF" w14:textId="77777777" w:rsidR="00A37A64" w:rsidRPr="00A37A64" w:rsidRDefault="00A37A64" w:rsidP="00A37A64">
      <w:pPr>
        <w:spacing w:before="120" w:after="120" w:line="240" w:lineRule="auto"/>
        <w:jc w:val="both"/>
        <w:rPr>
          <w:rFonts w:ascii="Times New Roman" w:eastAsia="Times New Roman" w:hAnsi="Times New Roman" w:cs="Times New Roman"/>
          <w:b/>
          <w:bCs/>
          <w:sz w:val="24"/>
          <w:szCs w:val="24"/>
        </w:rPr>
      </w:pPr>
      <w:r w:rsidRPr="00A37A64">
        <w:rPr>
          <w:rFonts w:ascii="Times New Roman" w:eastAsia="Times New Roman" w:hAnsi="Times New Roman" w:cs="Times New Roman"/>
          <w:b/>
          <w:bCs/>
          <w:sz w:val="24"/>
          <w:szCs w:val="24"/>
        </w:rPr>
        <w:t>Data on Pretest  and Posttest  Results of Experimental and Control Classes</w:t>
      </w:r>
    </w:p>
    <w:p w14:paraId="5C452CA7" w14:textId="3AA93A6B" w:rsidR="00A37A64" w:rsidRPr="00A37A64" w:rsidRDefault="00A37A64" w:rsidP="00A37A64">
      <w:pPr>
        <w:spacing w:before="120" w:after="120" w:line="240" w:lineRule="auto"/>
        <w:jc w:val="both"/>
        <w:rPr>
          <w:rFonts w:ascii="Times New Roman" w:eastAsia="Times New Roman" w:hAnsi="Times New Roman" w:cs="Times New Roman"/>
          <w:sz w:val="24"/>
          <w:szCs w:val="24"/>
        </w:rPr>
      </w:pPr>
      <w:r w:rsidRPr="00A37A64">
        <w:rPr>
          <w:rFonts w:ascii="Times New Roman" w:eastAsia="Times New Roman" w:hAnsi="Times New Roman" w:cs="Times New Roman"/>
          <w:sz w:val="24"/>
          <w:szCs w:val="24"/>
        </w:rPr>
        <w:t>The data on the results of the pretest and posttest  of the experimental and control classes can be seen in table 1 below</w:t>
      </w:r>
      <w:r w:rsidR="00065A0C">
        <w:rPr>
          <w:rFonts w:ascii="Times New Roman" w:eastAsia="Times New Roman" w:hAnsi="Times New Roman" w:cs="Times New Roman"/>
          <w:sz w:val="24"/>
          <w:szCs w:val="24"/>
        </w:rPr>
        <w:t>.</w:t>
      </w:r>
    </w:p>
    <w:p w14:paraId="64CEFA67" w14:textId="7BDEC419" w:rsidR="00A37A64" w:rsidRPr="00A37A64" w:rsidRDefault="00A37A64" w:rsidP="00A37A64">
      <w:pPr>
        <w:spacing w:before="120" w:after="120" w:line="240" w:lineRule="auto"/>
        <w:jc w:val="center"/>
        <w:rPr>
          <w:rFonts w:ascii="Times New Roman" w:eastAsia="Times New Roman" w:hAnsi="Times New Roman" w:cs="Times New Roman"/>
          <w:i/>
          <w:iCs/>
          <w:sz w:val="24"/>
          <w:szCs w:val="24"/>
        </w:rPr>
      </w:pPr>
      <w:bookmarkStart w:id="9" w:name="_Toc219281821"/>
      <w:bookmarkStart w:id="10" w:name="_Toc219281911"/>
      <w:bookmarkStart w:id="11" w:name="_Toc219282018"/>
      <w:bookmarkStart w:id="12" w:name="_Hlk219273888"/>
      <w:r w:rsidRPr="00A37A64">
        <w:rPr>
          <w:rFonts w:ascii="Times New Roman" w:eastAsia="Times New Roman" w:hAnsi="Times New Roman" w:cs="Times New Roman"/>
          <w:sz w:val="24"/>
          <w:szCs w:val="24"/>
        </w:rPr>
        <w:t>Table 1</w:t>
      </w:r>
      <w:r>
        <w:rPr>
          <w:rFonts w:ascii="Times New Roman" w:eastAsia="Times New Roman" w:hAnsi="Times New Roman" w:cs="Times New Roman"/>
          <w:sz w:val="24"/>
          <w:szCs w:val="24"/>
        </w:rPr>
        <w:t>.</w:t>
      </w:r>
      <w:r w:rsidRPr="00A37A64">
        <w:rPr>
          <w:rFonts w:ascii="Times New Roman" w:eastAsia="Times New Roman" w:hAnsi="Times New Roman" w:cs="Times New Roman"/>
          <w:sz w:val="24"/>
          <w:szCs w:val="24"/>
        </w:rPr>
        <w:t xml:space="preserve"> Pretest and Posttest Result Data</w:t>
      </w:r>
      <w:bookmarkEnd w:id="9"/>
      <w:bookmarkEnd w:id="10"/>
      <w:bookmarkEnd w:id="11"/>
    </w:p>
    <w:tbl>
      <w:tblPr>
        <w:tblStyle w:val="TableGrid"/>
        <w:tblW w:w="8964" w:type="dxa"/>
        <w:jc w:val="right"/>
        <w:tblLook w:val="04A0" w:firstRow="1" w:lastRow="0" w:firstColumn="1" w:lastColumn="0" w:noHBand="0" w:noVBand="1"/>
      </w:tblPr>
      <w:tblGrid>
        <w:gridCol w:w="4230"/>
        <w:gridCol w:w="789"/>
        <w:gridCol w:w="789"/>
        <w:gridCol w:w="789"/>
        <w:gridCol w:w="789"/>
        <w:gridCol w:w="789"/>
        <w:gridCol w:w="789"/>
      </w:tblGrid>
      <w:tr w:rsidR="00A37A64" w:rsidRPr="00A37A64" w14:paraId="7DDE4F0E" w14:textId="77777777" w:rsidTr="00A37A64">
        <w:trPr>
          <w:jc w:val="right"/>
        </w:trPr>
        <w:tc>
          <w:tcPr>
            <w:tcW w:w="4230" w:type="dxa"/>
            <w:vMerge w:val="restart"/>
            <w:vAlign w:val="center"/>
          </w:tcPr>
          <w:bookmarkEnd w:id="12"/>
          <w:p w14:paraId="7369254B" w14:textId="77777777" w:rsidR="00A37A64" w:rsidRPr="00A37A64" w:rsidRDefault="00A37A64" w:rsidP="00A37A64">
            <w:pPr>
              <w:spacing w:before="120" w:after="120"/>
              <w:contextualSpacing/>
              <w:jc w:val="center"/>
              <w:rPr>
                <w:rFonts w:eastAsia="Times New Roman"/>
                <w:b/>
                <w:bCs/>
                <w:sz w:val="24"/>
                <w:szCs w:val="24"/>
                <w:lang w:eastAsia="en-US"/>
              </w:rPr>
            </w:pPr>
            <w:r w:rsidRPr="00A37A64">
              <w:rPr>
                <w:rFonts w:eastAsia="Times New Roman"/>
                <w:b/>
                <w:bCs/>
                <w:sz w:val="24"/>
                <w:szCs w:val="24"/>
                <w:lang w:eastAsia="en-US"/>
              </w:rPr>
              <w:t>Data</w:t>
            </w:r>
          </w:p>
        </w:tc>
        <w:tc>
          <w:tcPr>
            <w:tcW w:w="0" w:type="auto"/>
            <w:gridSpan w:val="3"/>
            <w:vAlign w:val="center"/>
          </w:tcPr>
          <w:p w14:paraId="23C8B352" w14:textId="77777777" w:rsidR="00A37A64" w:rsidRPr="00A37A64" w:rsidRDefault="00A37A64" w:rsidP="00A37A64">
            <w:pPr>
              <w:spacing w:before="120" w:after="120"/>
              <w:contextualSpacing/>
              <w:jc w:val="center"/>
              <w:rPr>
                <w:rFonts w:eastAsia="Times New Roman"/>
                <w:b/>
                <w:bCs/>
                <w:sz w:val="24"/>
                <w:szCs w:val="24"/>
                <w:lang w:eastAsia="en-US"/>
              </w:rPr>
            </w:pPr>
            <w:r w:rsidRPr="00A37A64">
              <w:rPr>
                <w:rFonts w:eastAsia="Times New Roman"/>
                <w:b/>
                <w:bCs/>
                <w:sz w:val="24"/>
                <w:szCs w:val="24"/>
                <w:lang w:eastAsia="en-US"/>
              </w:rPr>
              <w:t>Pretest</w:t>
            </w:r>
          </w:p>
        </w:tc>
        <w:tc>
          <w:tcPr>
            <w:tcW w:w="0" w:type="auto"/>
            <w:gridSpan w:val="3"/>
            <w:vAlign w:val="center"/>
          </w:tcPr>
          <w:p w14:paraId="65941B0B" w14:textId="77777777" w:rsidR="00A37A64" w:rsidRPr="00A37A64" w:rsidRDefault="00A37A64" w:rsidP="00A37A64">
            <w:pPr>
              <w:spacing w:before="120" w:after="120"/>
              <w:contextualSpacing/>
              <w:jc w:val="center"/>
              <w:rPr>
                <w:rFonts w:eastAsia="Times New Roman"/>
                <w:b/>
                <w:bCs/>
                <w:sz w:val="24"/>
                <w:szCs w:val="24"/>
                <w:lang w:eastAsia="en-US"/>
              </w:rPr>
            </w:pPr>
            <w:r w:rsidRPr="00A37A64">
              <w:rPr>
                <w:rFonts w:eastAsia="Times New Roman"/>
                <w:b/>
                <w:bCs/>
                <w:sz w:val="24"/>
                <w:szCs w:val="24"/>
                <w:lang w:eastAsia="en-US"/>
              </w:rPr>
              <w:t>Posttest</w:t>
            </w:r>
          </w:p>
        </w:tc>
      </w:tr>
      <w:tr w:rsidR="00A37A64" w:rsidRPr="00A37A64" w14:paraId="3FF33A6E" w14:textId="77777777" w:rsidTr="00A37A64">
        <w:trPr>
          <w:jc w:val="right"/>
        </w:trPr>
        <w:tc>
          <w:tcPr>
            <w:tcW w:w="4230" w:type="dxa"/>
            <w:vMerge/>
            <w:vAlign w:val="center"/>
          </w:tcPr>
          <w:p w14:paraId="548BD906" w14:textId="77777777" w:rsidR="00A37A64" w:rsidRPr="00A37A64" w:rsidRDefault="00A37A64" w:rsidP="00A37A64">
            <w:pPr>
              <w:spacing w:before="120" w:after="120"/>
              <w:contextualSpacing/>
              <w:jc w:val="center"/>
              <w:rPr>
                <w:rFonts w:eastAsia="Times New Roman"/>
                <w:b/>
                <w:bCs/>
                <w:sz w:val="24"/>
                <w:szCs w:val="24"/>
                <w:lang w:eastAsia="en-US"/>
              </w:rPr>
            </w:pPr>
          </w:p>
        </w:tc>
        <w:tc>
          <w:tcPr>
            <w:tcW w:w="0" w:type="auto"/>
            <w:vAlign w:val="center"/>
          </w:tcPr>
          <w:p w14:paraId="1411AEA6" w14:textId="77777777" w:rsidR="00A37A64" w:rsidRPr="00A37A64" w:rsidRDefault="00A37A64" w:rsidP="00A37A64">
            <w:pPr>
              <w:spacing w:before="120" w:after="120"/>
              <w:contextualSpacing/>
              <w:jc w:val="center"/>
              <w:rPr>
                <w:rFonts w:eastAsia="Times New Roman"/>
                <w:b/>
                <w:bCs/>
                <w:sz w:val="24"/>
                <w:szCs w:val="24"/>
                <w:lang w:eastAsia="en-US"/>
              </w:rPr>
            </w:pPr>
            <w:r w:rsidRPr="00A37A64">
              <w:rPr>
                <w:rFonts w:eastAsia="Times New Roman"/>
                <w:b/>
                <w:bCs/>
                <w:sz w:val="24"/>
                <w:szCs w:val="24"/>
                <w:lang w:eastAsia="en-US"/>
              </w:rPr>
              <w:t>E1</w:t>
            </w:r>
          </w:p>
        </w:tc>
        <w:tc>
          <w:tcPr>
            <w:tcW w:w="0" w:type="auto"/>
            <w:vAlign w:val="center"/>
          </w:tcPr>
          <w:p w14:paraId="0565C643" w14:textId="77777777" w:rsidR="00A37A64" w:rsidRPr="00A37A64" w:rsidRDefault="00A37A64" w:rsidP="00A37A64">
            <w:pPr>
              <w:spacing w:before="120" w:after="120"/>
              <w:contextualSpacing/>
              <w:jc w:val="center"/>
              <w:rPr>
                <w:rFonts w:eastAsia="Times New Roman"/>
                <w:b/>
                <w:bCs/>
                <w:sz w:val="24"/>
                <w:szCs w:val="24"/>
                <w:lang w:eastAsia="en-US"/>
              </w:rPr>
            </w:pPr>
            <w:r w:rsidRPr="00A37A64">
              <w:rPr>
                <w:rFonts w:eastAsia="Times New Roman"/>
                <w:b/>
                <w:bCs/>
                <w:sz w:val="24"/>
                <w:szCs w:val="24"/>
                <w:lang w:eastAsia="en-US"/>
              </w:rPr>
              <w:t>E2</w:t>
            </w:r>
          </w:p>
        </w:tc>
        <w:tc>
          <w:tcPr>
            <w:tcW w:w="0" w:type="auto"/>
            <w:vAlign w:val="center"/>
          </w:tcPr>
          <w:p w14:paraId="2C73B568" w14:textId="77777777" w:rsidR="00A37A64" w:rsidRPr="00A37A64" w:rsidRDefault="00A37A64" w:rsidP="00A37A64">
            <w:pPr>
              <w:spacing w:before="120" w:after="120"/>
              <w:contextualSpacing/>
              <w:jc w:val="center"/>
              <w:rPr>
                <w:rFonts w:eastAsia="Times New Roman"/>
                <w:b/>
                <w:bCs/>
                <w:sz w:val="24"/>
                <w:szCs w:val="24"/>
                <w:lang w:eastAsia="en-US"/>
              </w:rPr>
            </w:pPr>
            <w:r w:rsidRPr="00A37A64">
              <w:rPr>
                <w:rFonts w:eastAsia="Times New Roman"/>
                <w:b/>
                <w:bCs/>
                <w:sz w:val="24"/>
                <w:szCs w:val="24"/>
                <w:lang w:eastAsia="en-US"/>
              </w:rPr>
              <w:t>K</w:t>
            </w:r>
          </w:p>
        </w:tc>
        <w:tc>
          <w:tcPr>
            <w:tcW w:w="0" w:type="auto"/>
            <w:vAlign w:val="center"/>
          </w:tcPr>
          <w:p w14:paraId="6E03320B" w14:textId="77777777" w:rsidR="00A37A64" w:rsidRPr="00A37A64" w:rsidRDefault="00A37A64" w:rsidP="00A37A64">
            <w:pPr>
              <w:spacing w:before="120" w:after="120"/>
              <w:contextualSpacing/>
              <w:jc w:val="center"/>
              <w:rPr>
                <w:rFonts w:eastAsia="Times New Roman"/>
                <w:b/>
                <w:bCs/>
                <w:sz w:val="24"/>
                <w:szCs w:val="24"/>
                <w:lang w:eastAsia="en-US"/>
              </w:rPr>
            </w:pPr>
            <w:r w:rsidRPr="00A37A64">
              <w:rPr>
                <w:rFonts w:eastAsia="Times New Roman"/>
                <w:b/>
                <w:bCs/>
                <w:sz w:val="24"/>
                <w:szCs w:val="24"/>
                <w:lang w:eastAsia="en-US"/>
              </w:rPr>
              <w:t>E1</w:t>
            </w:r>
          </w:p>
        </w:tc>
        <w:tc>
          <w:tcPr>
            <w:tcW w:w="0" w:type="auto"/>
            <w:vAlign w:val="center"/>
          </w:tcPr>
          <w:p w14:paraId="0BA3B2FB" w14:textId="77777777" w:rsidR="00A37A64" w:rsidRPr="00A37A64" w:rsidRDefault="00A37A64" w:rsidP="00A37A64">
            <w:pPr>
              <w:spacing w:before="120" w:after="120"/>
              <w:contextualSpacing/>
              <w:jc w:val="center"/>
              <w:rPr>
                <w:rFonts w:eastAsia="Times New Roman"/>
                <w:b/>
                <w:bCs/>
                <w:sz w:val="24"/>
                <w:szCs w:val="24"/>
                <w:lang w:eastAsia="en-US"/>
              </w:rPr>
            </w:pPr>
            <w:r w:rsidRPr="00A37A64">
              <w:rPr>
                <w:rFonts w:eastAsia="Times New Roman"/>
                <w:b/>
                <w:bCs/>
                <w:sz w:val="24"/>
                <w:szCs w:val="24"/>
                <w:lang w:eastAsia="en-US"/>
              </w:rPr>
              <w:t>E2</w:t>
            </w:r>
          </w:p>
        </w:tc>
        <w:tc>
          <w:tcPr>
            <w:tcW w:w="0" w:type="auto"/>
            <w:vAlign w:val="center"/>
          </w:tcPr>
          <w:p w14:paraId="2215F8B7" w14:textId="77777777" w:rsidR="00A37A64" w:rsidRPr="00A37A64" w:rsidRDefault="00A37A64" w:rsidP="00A37A64">
            <w:pPr>
              <w:spacing w:before="120" w:after="120"/>
              <w:contextualSpacing/>
              <w:jc w:val="center"/>
              <w:rPr>
                <w:rFonts w:eastAsia="Times New Roman"/>
                <w:b/>
                <w:bCs/>
                <w:sz w:val="24"/>
                <w:szCs w:val="24"/>
                <w:lang w:eastAsia="en-US"/>
              </w:rPr>
            </w:pPr>
            <w:r w:rsidRPr="00A37A64">
              <w:rPr>
                <w:rFonts w:eastAsia="Times New Roman"/>
                <w:b/>
                <w:bCs/>
                <w:sz w:val="24"/>
                <w:szCs w:val="24"/>
                <w:lang w:eastAsia="en-US"/>
              </w:rPr>
              <w:t>K</w:t>
            </w:r>
          </w:p>
        </w:tc>
      </w:tr>
      <w:tr w:rsidR="00A37A64" w:rsidRPr="00A37A64" w14:paraId="1F713C8A" w14:textId="77777777" w:rsidTr="00A37A64">
        <w:trPr>
          <w:jc w:val="right"/>
        </w:trPr>
        <w:tc>
          <w:tcPr>
            <w:tcW w:w="4230" w:type="dxa"/>
            <w:vAlign w:val="center"/>
          </w:tcPr>
          <w:p w14:paraId="71155F68" w14:textId="77777777" w:rsidR="00A37A64" w:rsidRPr="00A37A64" w:rsidRDefault="00A37A64" w:rsidP="00A37A64">
            <w:pPr>
              <w:spacing w:before="120" w:after="120"/>
              <w:contextualSpacing/>
              <w:jc w:val="center"/>
              <w:rPr>
                <w:rFonts w:eastAsia="Times New Roman"/>
                <w:sz w:val="24"/>
                <w:szCs w:val="24"/>
                <w:lang w:eastAsia="en-US"/>
              </w:rPr>
            </w:pPr>
            <w:r w:rsidRPr="00A37A64">
              <w:rPr>
                <w:rFonts w:eastAsia="Times New Roman"/>
                <w:sz w:val="24"/>
                <w:szCs w:val="24"/>
                <w:lang w:eastAsia="en-US"/>
              </w:rPr>
              <w:t>Number of Students</w:t>
            </w:r>
          </w:p>
        </w:tc>
        <w:tc>
          <w:tcPr>
            <w:tcW w:w="0" w:type="auto"/>
            <w:vAlign w:val="center"/>
          </w:tcPr>
          <w:p w14:paraId="5BFA03A1" w14:textId="77777777" w:rsidR="00A37A64" w:rsidRPr="00A37A64" w:rsidRDefault="00A37A64" w:rsidP="00A37A64">
            <w:pPr>
              <w:spacing w:before="120" w:after="120"/>
              <w:contextualSpacing/>
              <w:jc w:val="center"/>
              <w:rPr>
                <w:rFonts w:eastAsia="Times New Roman"/>
                <w:sz w:val="24"/>
                <w:szCs w:val="24"/>
                <w:lang w:eastAsia="en-US"/>
              </w:rPr>
            </w:pPr>
            <w:r w:rsidRPr="00A37A64">
              <w:rPr>
                <w:rFonts w:eastAsia="Times New Roman"/>
                <w:sz w:val="24"/>
                <w:szCs w:val="24"/>
                <w:lang w:eastAsia="en-US"/>
              </w:rPr>
              <w:t>22</w:t>
            </w:r>
          </w:p>
        </w:tc>
        <w:tc>
          <w:tcPr>
            <w:tcW w:w="0" w:type="auto"/>
            <w:vAlign w:val="center"/>
          </w:tcPr>
          <w:p w14:paraId="216A123B" w14:textId="77777777" w:rsidR="00A37A64" w:rsidRPr="00A37A64" w:rsidRDefault="00A37A64" w:rsidP="00A37A64">
            <w:pPr>
              <w:spacing w:before="120" w:after="120"/>
              <w:contextualSpacing/>
              <w:jc w:val="center"/>
              <w:rPr>
                <w:rFonts w:eastAsia="Times New Roman"/>
                <w:sz w:val="24"/>
                <w:szCs w:val="24"/>
                <w:lang w:eastAsia="en-US"/>
              </w:rPr>
            </w:pPr>
            <w:r w:rsidRPr="00A37A64">
              <w:rPr>
                <w:rFonts w:eastAsia="Times New Roman"/>
                <w:sz w:val="24"/>
                <w:szCs w:val="24"/>
                <w:lang w:eastAsia="en-US"/>
              </w:rPr>
              <w:t>22</w:t>
            </w:r>
          </w:p>
        </w:tc>
        <w:tc>
          <w:tcPr>
            <w:tcW w:w="0" w:type="auto"/>
            <w:vAlign w:val="center"/>
          </w:tcPr>
          <w:p w14:paraId="7D4A13A2" w14:textId="77777777" w:rsidR="00A37A64" w:rsidRPr="00A37A64" w:rsidRDefault="00A37A64" w:rsidP="00A37A64">
            <w:pPr>
              <w:spacing w:before="120" w:after="120"/>
              <w:contextualSpacing/>
              <w:jc w:val="center"/>
              <w:rPr>
                <w:rFonts w:eastAsia="Times New Roman"/>
                <w:sz w:val="24"/>
                <w:szCs w:val="24"/>
                <w:lang w:eastAsia="en-US"/>
              </w:rPr>
            </w:pPr>
            <w:r w:rsidRPr="00A37A64">
              <w:rPr>
                <w:rFonts w:eastAsia="Times New Roman"/>
                <w:sz w:val="24"/>
                <w:szCs w:val="24"/>
                <w:lang w:eastAsia="en-US"/>
              </w:rPr>
              <w:t>21</w:t>
            </w:r>
          </w:p>
        </w:tc>
        <w:tc>
          <w:tcPr>
            <w:tcW w:w="0" w:type="auto"/>
            <w:vAlign w:val="center"/>
          </w:tcPr>
          <w:p w14:paraId="1DE02284" w14:textId="77777777" w:rsidR="00A37A64" w:rsidRPr="00A37A64" w:rsidRDefault="00A37A64" w:rsidP="00A37A64">
            <w:pPr>
              <w:spacing w:before="120" w:after="120"/>
              <w:contextualSpacing/>
              <w:jc w:val="center"/>
              <w:rPr>
                <w:rFonts w:eastAsia="Times New Roman"/>
                <w:sz w:val="24"/>
                <w:szCs w:val="24"/>
                <w:lang w:eastAsia="en-US"/>
              </w:rPr>
            </w:pPr>
            <w:r w:rsidRPr="00A37A64">
              <w:rPr>
                <w:rFonts w:eastAsia="Times New Roman"/>
                <w:sz w:val="24"/>
                <w:szCs w:val="24"/>
                <w:lang w:eastAsia="en-US"/>
              </w:rPr>
              <w:t>22</w:t>
            </w:r>
          </w:p>
        </w:tc>
        <w:tc>
          <w:tcPr>
            <w:tcW w:w="0" w:type="auto"/>
            <w:vAlign w:val="center"/>
          </w:tcPr>
          <w:p w14:paraId="3A98F4C0" w14:textId="77777777" w:rsidR="00A37A64" w:rsidRPr="00A37A64" w:rsidRDefault="00A37A64" w:rsidP="00A37A64">
            <w:pPr>
              <w:spacing w:before="120" w:after="120"/>
              <w:contextualSpacing/>
              <w:jc w:val="center"/>
              <w:rPr>
                <w:rFonts w:eastAsia="Times New Roman"/>
                <w:sz w:val="24"/>
                <w:szCs w:val="24"/>
                <w:lang w:eastAsia="en-US"/>
              </w:rPr>
            </w:pPr>
            <w:r w:rsidRPr="00A37A64">
              <w:rPr>
                <w:rFonts w:eastAsia="Times New Roman"/>
                <w:sz w:val="24"/>
                <w:szCs w:val="24"/>
                <w:lang w:eastAsia="en-US"/>
              </w:rPr>
              <w:t>22</w:t>
            </w:r>
          </w:p>
        </w:tc>
        <w:tc>
          <w:tcPr>
            <w:tcW w:w="0" w:type="auto"/>
            <w:vAlign w:val="center"/>
          </w:tcPr>
          <w:p w14:paraId="18F23894" w14:textId="77777777" w:rsidR="00A37A64" w:rsidRPr="00A37A64" w:rsidRDefault="00A37A64" w:rsidP="00A37A64">
            <w:pPr>
              <w:spacing w:before="120" w:after="120"/>
              <w:contextualSpacing/>
              <w:jc w:val="center"/>
              <w:rPr>
                <w:rFonts w:eastAsia="Times New Roman"/>
                <w:sz w:val="24"/>
                <w:szCs w:val="24"/>
                <w:lang w:eastAsia="en-US"/>
              </w:rPr>
            </w:pPr>
            <w:r w:rsidRPr="00A37A64">
              <w:rPr>
                <w:rFonts w:eastAsia="Times New Roman"/>
                <w:sz w:val="24"/>
                <w:szCs w:val="24"/>
                <w:lang w:eastAsia="en-US"/>
              </w:rPr>
              <w:t>21</w:t>
            </w:r>
          </w:p>
        </w:tc>
      </w:tr>
      <w:tr w:rsidR="00A37A64" w:rsidRPr="00A37A64" w14:paraId="55119385" w14:textId="77777777" w:rsidTr="00A37A64">
        <w:trPr>
          <w:jc w:val="right"/>
        </w:trPr>
        <w:tc>
          <w:tcPr>
            <w:tcW w:w="4230" w:type="dxa"/>
            <w:vAlign w:val="center"/>
          </w:tcPr>
          <w:p w14:paraId="562C4B81" w14:textId="77777777" w:rsidR="00A37A64" w:rsidRPr="00A37A64" w:rsidRDefault="00A37A64" w:rsidP="00A37A64">
            <w:pPr>
              <w:spacing w:before="120" w:after="120"/>
              <w:contextualSpacing/>
              <w:jc w:val="center"/>
              <w:rPr>
                <w:rFonts w:eastAsia="Times New Roman"/>
                <w:sz w:val="24"/>
                <w:szCs w:val="24"/>
                <w:lang w:eastAsia="en-US"/>
              </w:rPr>
            </w:pPr>
            <w:r w:rsidRPr="00A37A64">
              <w:rPr>
                <w:rFonts w:eastAsia="Times New Roman"/>
                <w:sz w:val="24"/>
                <w:szCs w:val="24"/>
                <w:lang w:eastAsia="en-US"/>
              </w:rPr>
              <w:t>Highest Score</w:t>
            </w:r>
          </w:p>
        </w:tc>
        <w:tc>
          <w:tcPr>
            <w:tcW w:w="0" w:type="auto"/>
            <w:vAlign w:val="center"/>
          </w:tcPr>
          <w:p w14:paraId="7C5977BD" w14:textId="77777777" w:rsidR="00A37A64" w:rsidRPr="00A37A64" w:rsidRDefault="00A37A64" w:rsidP="00A37A64">
            <w:pPr>
              <w:spacing w:before="120" w:after="120"/>
              <w:contextualSpacing/>
              <w:jc w:val="center"/>
              <w:rPr>
                <w:rFonts w:eastAsia="Times New Roman"/>
                <w:sz w:val="24"/>
                <w:szCs w:val="24"/>
                <w:lang w:eastAsia="en-US"/>
              </w:rPr>
            </w:pPr>
            <w:r w:rsidRPr="00A37A64">
              <w:rPr>
                <w:rFonts w:eastAsia="Times New Roman"/>
                <w:sz w:val="24"/>
                <w:szCs w:val="24"/>
                <w:lang w:eastAsia="en-US"/>
              </w:rPr>
              <w:t>60</w:t>
            </w:r>
          </w:p>
        </w:tc>
        <w:tc>
          <w:tcPr>
            <w:tcW w:w="0" w:type="auto"/>
            <w:vAlign w:val="center"/>
          </w:tcPr>
          <w:p w14:paraId="0F5392BC" w14:textId="77777777" w:rsidR="00A37A64" w:rsidRPr="00A37A64" w:rsidRDefault="00A37A64" w:rsidP="00A37A64">
            <w:pPr>
              <w:spacing w:before="120" w:after="120"/>
              <w:contextualSpacing/>
              <w:jc w:val="center"/>
              <w:rPr>
                <w:rFonts w:eastAsia="Times New Roman"/>
                <w:sz w:val="24"/>
                <w:szCs w:val="24"/>
                <w:lang w:eastAsia="en-US"/>
              </w:rPr>
            </w:pPr>
            <w:r w:rsidRPr="00A37A64">
              <w:rPr>
                <w:rFonts w:eastAsia="Times New Roman"/>
                <w:sz w:val="24"/>
                <w:szCs w:val="24"/>
                <w:lang w:eastAsia="en-US"/>
              </w:rPr>
              <w:t>60</w:t>
            </w:r>
          </w:p>
        </w:tc>
        <w:tc>
          <w:tcPr>
            <w:tcW w:w="0" w:type="auto"/>
            <w:vAlign w:val="center"/>
          </w:tcPr>
          <w:p w14:paraId="1431008E" w14:textId="77777777" w:rsidR="00A37A64" w:rsidRPr="00A37A64" w:rsidRDefault="00A37A64" w:rsidP="00A37A64">
            <w:pPr>
              <w:spacing w:before="120" w:after="120"/>
              <w:contextualSpacing/>
              <w:jc w:val="center"/>
              <w:rPr>
                <w:rFonts w:eastAsia="Times New Roman"/>
                <w:sz w:val="24"/>
                <w:szCs w:val="24"/>
                <w:lang w:eastAsia="en-US"/>
              </w:rPr>
            </w:pPr>
            <w:r w:rsidRPr="00A37A64">
              <w:rPr>
                <w:rFonts w:eastAsia="Times New Roman"/>
                <w:sz w:val="24"/>
                <w:szCs w:val="24"/>
                <w:lang w:eastAsia="en-US"/>
              </w:rPr>
              <w:t>50</w:t>
            </w:r>
          </w:p>
        </w:tc>
        <w:tc>
          <w:tcPr>
            <w:tcW w:w="0" w:type="auto"/>
            <w:vAlign w:val="center"/>
          </w:tcPr>
          <w:p w14:paraId="36EEFB4A" w14:textId="77777777" w:rsidR="00A37A64" w:rsidRPr="00A37A64" w:rsidRDefault="00A37A64" w:rsidP="00A37A64">
            <w:pPr>
              <w:spacing w:before="120" w:after="120"/>
              <w:contextualSpacing/>
              <w:jc w:val="center"/>
              <w:rPr>
                <w:rFonts w:eastAsia="Times New Roman"/>
                <w:sz w:val="24"/>
                <w:szCs w:val="24"/>
                <w:lang w:eastAsia="en-US"/>
              </w:rPr>
            </w:pPr>
            <w:r w:rsidRPr="00A37A64">
              <w:rPr>
                <w:rFonts w:eastAsia="Times New Roman"/>
                <w:sz w:val="24"/>
                <w:szCs w:val="24"/>
                <w:lang w:eastAsia="en-US"/>
              </w:rPr>
              <w:t>100</w:t>
            </w:r>
          </w:p>
        </w:tc>
        <w:tc>
          <w:tcPr>
            <w:tcW w:w="0" w:type="auto"/>
            <w:vAlign w:val="center"/>
          </w:tcPr>
          <w:p w14:paraId="092B061A" w14:textId="77777777" w:rsidR="00A37A64" w:rsidRPr="00A37A64" w:rsidRDefault="00A37A64" w:rsidP="00A37A64">
            <w:pPr>
              <w:spacing w:before="120" w:after="120"/>
              <w:contextualSpacing/>
              <w:jc w:val="center"/>
              <w:rPr>
                <w:rFonts w:eastAsia="Times New Roman"/>
                <w:sz w:val="24"/>
                <w:szCs w:val="24"/>
                <w:lang w:eastAsia="en-US"/>
              </w:rPr>
            </w:pPr>
            <w:r w:rsidRPr="00A37A64">
              <w:rPr>
                <w:rFonts w:eastAsia="Times New Roman"/>
                <w:sz w:val="24"/>
                <w:szCs w:val="24"/>
                <w:lang w:eastAsia="en-US"/>
              </w:rPr>
              <w:t>90</w:t>
            </w:r>
          </w:p>
        </w:tc>
        <w:tc>
          <w:tcPr>
            <w:tcW w:w="0" w:type="auto"/>
            <w:vAlign w:val="center"/>
          </w:tcPr>
          <w:p w14:paraId="5295BA1C" w14:textId="77777777" w:rsidR="00A37A64" w:rsidRPr="00A37A64" w:rsidRDefault="00A37A64" w:rsidP="00A37A64">
            <w:pPr>
              <w:spacing w:before="120" w:after="120"/>
              <w:contextualSpacing/>
              <w:jc w:val="center"/>
              <w:rPr>
                <w:rFonts w:eastAsia="Times New Roman"/>
                <w:sz w:val="24"/>
                <w:szCs w:val="24"/>
                <w:lang w:eastAsia="en-US"/>
              </w:rPr>
            </w:pPr>
            <w:r w:rsidRPr="00A37A64">
              <w:rPr>
                <w:rFonts w:eastAsia="Times New Roman"/>
                <w:sz w:val="24"/>
                <w:szCs w:val="24"/>
                <w:lang w:eastAsia="en-US"/>
              </w:rPr>
              <w:t>90</w:t>
            </w:r>
          </w:p>
        </w:tc>
      </w:tr>
      <w:tr w:rsidR="00A37A64" w:rsidRPr="00A37A64" w14:paraId="44AF009D" w14:textId="77777777" w:rsidTr="00A37A64">
        <w:trPr>
          <w:jc w:val="right"/>
        </w:trPr>
        <w:tc>
          <w:tcPr>
            <w:tcW w:w="4230" w:type="dxa"/>
            <w:vAlign w:val="center"/>
          </w:tcPr>
          <w:p w14:paraId="1E553CDF" w14:textId="77777777" w:rsidR="00A37A64" w:rsidRPr="00A37A64" w:rsidRDefault="00A37A64" w:rsidP="00A37A64">
            <w:pPr>
              <w:spacing w:before="120" w:after="120"/>
              <w:contextualSpacing/>
              <w:jc w:val="center"/>
              <w:rPr>
                <w:rFonts w:eastAsia="Times New Roman"/>
                <w:sz w:val="24"/>
                <w:szCs w:val="24"/>
                <w:lang w:eastAsia="en-US"/>
              </w:rPr>
            </w:pPr>
            <w:r w:rsidRPr="00A37A64">
              <w:rPr>
                <w:rFonts w:eastAsia="Times New Roman"/>
                <w:sz w:val="24"/>
                <w:szCs w:val="24"/>
                <w:lang w:eastAsia="en-US"/>
              </w:rPr>
              <w:t>Lowest Score</w:t>
            </w:r>
          </w:p>
        </w:tc>
        <w:tc>
          <w:tcPr>
            <w:tcW w:w="0" w:type="auto"/>
            <w:vAlign w:val="center"/>
          </w:tcPr>
          <w:p w14:paraId="470CEB89" w14:textId="77777777" w:rsidR="00A37A64" w:rsidRPr="00A37A64" w:rsidRDefault="00A37A64" w:rsidP="00A37A64">
            <w:pPr>
              <w:spacing w:before="120" w:after="120"/>
              <w:contextualSpacing/>
              <w:jc w:val="center"/>
              <w:rPr>
                <w:rFonts w:eastAsia="Times New Roman"/>
                <w:sz w:val="24"/>
                <w:szCs w:val="24"/>
                <w:lang w:eastAsia="en-US"/>
              </w:rPr>
            </w:pPr>
            <w:r w:rsidRPr="00A37A64">
              <w:rPr>
                <w:rFonts w:eastAsia="Times New Roman"/>
                <w:sz w:val="24"/>
                <w:szCs w:val="24"/>
                <w:lang w:eastAsia="en-US"/>
              </w:rPr>
              <w:t>10</w:t>
            </w:r>
          </w:p>
        </w:tc>
        <w:tc>
          <w:tcPr>
            <w:tcW w:w="0" w:type="auto"/>
            <w:vAlign w:val="center"/>
          </w:tcPr>
          <w:p w14:paraId="55B4CD45" w14:textId="77777777" w:rsidR="00A37A64" w:rsidRPr="00A37A64" w:rsidRDefault="00A37A64" w:rsidP="00A37A64">
            <w:pPr>
              <w:spacing w:before="120" w:after="120"/>
              <w:contextualSpacing/>
              <w:jc w:val="center"/>
              <w:rPr>
                <w:rFonts w:eastAsia="Times New Roman"/>
                <w:sz w:val="24"/>
                <w:szCs w:val="24"/>
                <w:lang w:eastAsia="en-US"/>
              </w:rPr>
            </w:pPr>
            <w:r w:rsidRPr="00A37A64">
              <w:rPr>
                <w:rFonts w:eastAsia="Times New Roman"/>
                <w:sz w:val="24"/>
                <w:szCs w:val="24"/>
                <w:lang w:eastAsia="en-US"/>
              </w:rPr>
              <w:t>10</w:t>
            </w:r>
          </w:p>
        </w:tc>
        <w:tc>
          <w:tcPr>
            <w:tcW w:w="0" w:type="auto"/>
            <w:vAlign w:val="center"/>
          </w:tcPr>
          <w:p w14:paraId="1433BC7E" w14:textId="77777777" w:rsidR="00A37A64" w:rsidRPr="00A37A64" w:rsidRDefault="00A37A64" w:rsidP="00A37A64">
            <w:pPr>
              <w:spacing w:before="120" w:after="120"/>
              <w:contextualSpacing/>
              <w:jc w:val="center"/>
              <w:rPr>
                <w:rFonts w:eastAsia="Times New Roman"/>
                <w:sz w:val="24"/>
                <w:szCs w:val="24"/>
                <w:lang w:eastAsia="en-US"/>
              </w:rPr>
            </w:pPr>
            <w:r w:rsidRPr="00A37A64">
              <w:rPr>
                <w:rFonts w:eastAsia="Times New Roman"/>
                <w:sz w:val="24"/>
                <w:szCs w:val="24"/>
                <w:lang w:eastAsia="en-US"/>
              </w:rPr>
              <w:t>10</w:t>
            </w:r>
          </w:p>
        </w:tc>
        <w:tc>
          <w:tcPr>
            <w:tcW w:w="0" w:type="auto"/>
            <w:vAlign w:val="center"/>
          </w:tcPr>
          <w:p w14:paraId="1FD2DAE2" w14:textId="77777777" w:rsidR="00A37A64" w:rsidRPr="00A37A64" w:rsidRDefault="00A37A64" w:rsidP="00A37A64">
            <w:pPr>
              <w:spacing w:before="120" w:after="120"/>
              <w:contextualSpacing/>
              <w:jc w:val="center"/>
              <w:rPr>
                <w:rFonts w:eastAsia="Times New Roman"/>
                <w:sz w:val="24"/>
                <w:szCs w:val="24"/>
                <w:lang w:eastAsia="en-US"/>
              </w:rPr>
            </w:pPr>
            <w:r w:rsidRPr="00A37A64">
              <w:rPr>
                <w:rFonts w:eastAsia="Times New Roman"/>
                <w:sz w:val="24"/>
                <w:szCs w:val="24"/>
                <w:lang w:eastAsia="en-US"/>
              </w:rPr>
              <w:t>70</w:t>
            </w:r>
          </w:p>
        </w:tc>
        <w:tc>
          <w:tcPr>
            <w:tcW w:w="0" w:type="auto"/>
            <w:vAlign w:val="center"/>
          </w:tcPr>
          <w:p w14:paraId="7723D0E9" w14:textId="77777777" w:rsidR="00A37A64" w:rsidRPr="00A37A64" w:rsidRDefault="00A37A64" w:rsidP="00A37A64">
            <w:pPr>
              <w:spacing w:before="120" w:after="120"/>
              <w:contextualSpacing/>
              <w:jc w:val="center"/>
              <w:rPr>
                <w:rFonts w:eastAsia="Times New Roman"/>
                <w:sz w:val="24"/>
                <w:szCs w:val="24"/>
                <w:lang w:eastAsia="en-US"/>
              </w:rPr>
            </w:pPr>
            <w:r w:rsidRPr="00A37A64">
              <w:rPr>
                <w:rFonts w:eastAsia="Times New Roman"/>
                <w:sz w:val="24"/>
                <w:szCs w:val="24"/>
                <w:lang w:eastAsia="en-US"/>
              </w:rPr>
              <w:t>50</w:t>
            </w:r>
          </w:p>
        </w:tc>
        <w:tc>
          <w:tcPr>
            <w:tcW w:w="0" w:type="auto"/>
            <w:vAlign w:val="center"/>
          </w:tcPr>
          <w:p w14:paraId="34127F6B" w14:textId="77777777" w:rsidR="00A37A64" w:rsidRPr="00A37A64" w:rsidRDefault="00A37A64" w:rsidP="00A37A64">
            <w:pPr>
              <w:spacing w:before="120" w:after="120"/>
              <w:contextualSpacing/>
              <w:jc w:val="center"/>
              <w:rPr>
                <w:rFonts w:eastAsia="Times New Roman"/>
                <w:sz w:val="24"/>
                <w:szCs w:val="24"/>
                <w:lang w:eastAsia="en-US"/>
              </w:rPr>
            </w:pPr>
            <w:r w:rsidRPr="00A37A64">
              <w:rPr>
                <w:rFonts w:eastAsia="Times New Roman"/>
                <w:sz w:val="24"/>
                <w:szCs w:val="24"/>
                <w:lang w:eastAsia="en-US"/>
              </w:rPr>
              <w:t>60</w:t>
            </w:r>
          </w:p>
        </w:tc>
      </w:tr>
      <w:tr w:rsidR="00A37A64" w:rsidRPr="00A37A64" w14:paraId="416A3A8C" w14:textId="77777777" w:rsidTr="00A37A64">
        <w:trPr>
          <w:jc w:val="right"/>
        </w:trPr>
        <w:tc>
          <w:tcPr>
            <w:tcW w:w="4230" w:type="dxa"/>
            <w:vAlign w:val="center"/>
          </w:tcPr>
          <w:p w14:paraId="08B77196" w14:textId="77777777" w:rsidR="00A37A64" w:rsidRPr="00A37A64" w:rsidRDefault="00A37A64" w:rsidP="00A37A64">
            <w:pPr>
              <w:spacing w:before="120" w:after="120"/>
              <w:contextualSpacing/>
              <w:jc w:val="center"/>
              <w:rPr>
                <w:rFonts w:eastAsia="Times New Roman"/>
                <w:sz w:val="24"/>
                <w:szCs w:val="24"/>
                <w:lang w:eastAsia="en-US"/>
              </w:rPr>
            </w:pPr>
            <w:r w:rsidRPr="00A37A64">
              <w:rPr>
                <w:rFonts w:eastAsia="Times New Roman"/>
                <w:sz w:val="24"/>
                <w:szCs w:val="24"/>
                <w:lang w:eastAsia="en-US"/>
              </w:rPr>
              <w:t>Average</w:t>
            </w:r>
          </w:p>
        </w:tc>
        <w:tc>
          <w:tcPr>
            <w:tcW w:w="0" w:type="auto"/>
            <w:vAlign w:val="center"/>
          </w:tcPr>
          <w:p w14:paraId="008D4636" w14:textId="77777777" w:rsidR="00A37A64" w:rsidRPr="00A37A64" w:rsidRDefault="00A37A64" w:rsidP="00A37A64">
            <w:pPr>
              <w:spacing w:before="120" w:after="120"/>
              <w:contextualSpacing/>
              <w:jc w:val="center"/>
              <w:rPr>
                <w:rFonts w:eastAsia="Times New Roman"/>
                <w:sz w:val="24"/>
                <w:szCs w:val="24"/>
                <w:lang w:eastAsia="en-US"/>
              </w:rPr>
            </w:pPr>
            <w:r w:rsidRPr="00A37A64">
              <w:rPr>
                <w:rFonts w:eastAsia="Times New Roman"/>
                <w:sz w:val="24"/>
                <w:szCs w:val="24"/>
                <w:lang w:eastAsia="en-US"/>
              </w:rPr>
              <w:t>38,86</w:t>
            </w:r>
          </w:p>
        </w:tc>
        <w:tc>
          <w:tcPr>
            <w:tcW w:w="0" w:type="auto"/>
            <w:vAlign w:val="center"/>
          </w:tcPr>
          <w:p w14:paraId="46CB3A5E" w14:textId="77777777" w:rsidR="00A37A64" w:rsidRPr="00A37A64" w:rsidRDefault="00A37A64" w:rsidP="00A37A64">
            <w:pPr>
              <w:spacing w:before="120" w:after="120"/>
              <w:contextualSpacing/>
              <w:jc w:val="center"/>
              <w:rPr>
                <w:rFonts w:eastAsia="Times New Roman"/>
                <w:sz w:val="24"/>
                <w:szCs w:val="24"/>
                <w:lang w:eastAsia="en-US"/>
              </w:rPr>
            </w:pPr>
            <w:r w:rsidRPr="00A37A64">
              <w:rPr>
                <w:rFonts w:eastAsia="Times New Roman"/>
                <w:sz w:val="24"/>
                <w:szCs w:val="24"/>
                <w:lang w:eastAsia="en-US"/>
              </w:rPr>
              <w:t>31,36</w:t>
            </w:r>
          </w:p>
        </w:tc>
        <w:tc>
          <w:tcPr>
            <w:tcW w:w="0" w:type="auto"/>
            <w:vAlign w:val="center"/>
          </w:tcPr>
          <w:p w14:paraId="7D8AFD31" w14:textId="77777777" w:rsidR="00A37A64" w:rsidRPr="00A37A64" w:rsidRDefault="00A37A64" w:rsidP="00A37A64">
            <w:pPr>
              <w:spacing w:before="120" w:after="120"/>
              <w:contextualSpacing/>
              <w:jc w:val="center"/>
              <w:rPr>
                <w:rFonts w:eastAsia="Times New Roman"/>
                <w:sz w:val="24"/>
                <w:szCs w:val="24"/>
                <w:lang w:eastAsia="en-US"/>
              </w:rPr>
            </w:pPr>
            <w:r w:rsidRPr="00A37A64">
              <w:rPr>
                <w:rFonts w:eastAsia="Times New Roman"/>
                <w:sz w:val="24"/>
                <w:szCs w:val="24"/>
                <w:lang w:eastAsia="en-US"/>
              </w:rPr>
              <w:t>28,57</w:t>
            </w:r>
          </w:p>
        </w:tc>
        <w:tc>
          <w:tcPr>
            <w:tcW w:w="0" w:type="auto"/>
            <w:vAlign w:val="center"/>
          </w:tcPr>
          <w:p w14:paraId="58202C52" w14:textId="77777777" w:rsidR="00A37A64" w:rsidRPr="00A37A64" w:rsidRDefault="00A37A64" w:rsidP="00A37A64">
            <w:pPr>
              <w:spacing w:before="120" w:after="120"/>
              <w:contextualSpacing/>
              <w:jc w:val="center"/>
              <w:rPr>
                <w:rFonts w:eastAsia="Times New Roman"/>
                <w:sz w:val="24"/>
                <w:szCs w:val="24"/>
                <w:lang w:eastAsia="en-US"/>
              </w:rPr>
            </w:pPr>
            <w:r w:rsidRPr="00A37A64">
              <w:rPr>
                <w:rFonts w:eastAsia="Times New Roman"/>
                <w:sz w:val="24"/>
                <w:szCs w:val="24"/>
                <w:lang w:eastAsia="en-US"/>
              </w:rPr>
              <w:t>90,45</w:t>
            </w:r>
          </w:p>
        </w:tc>
        <w:tc>
          <w:tcPr>
            <w:tcW w:w="0" w:type="auto"/>
            <w:vAlign w:val="center"/>
          </w:tcPr>
          <w:p w14:paraId="655138CD" w14:textId="77777777" w:rsidR="00A37A64" w:rsidRPr="00A37A64" w:rsidRDefault="00A37A64" w:rsidP="00A37A64">
            <w:pPr>
              <w:spacing w:before="120" w:after="120"/>
              <w:contextualSpacing/>
              <w:jc w:val="center"/>
              <w:rPr>
                <w:rFonts w:eastAsia="Times New Roman"/>
                <w:sz w:val="24"/>
                <w:szCs w:val="24"/>
                <w:lang w:eastAsia="en-US"/>
              </w:rPr>
            </w:pPr>
            <w:r w:rsidRPr="00A37A64">
              <w:rPr>
                <w:rFonts w:eastAsia="Times New Roman"/>
                <w:sz w:val="24"/>
                <w:szCs w:val="24"/>
                <w:lang w:eastAsia="en-US"/>
              </w:rPr>
              <w:t>81,36</w:t>
            </w:r>
          </w:p>
        </w:tc>
        <w:tc>
          <w:tcPr>
            <w:tcW w:w="0" w:type="auto"/>
            <w:vAlign w:val="center"/>
          </w:tcPr>
          <w:p w14:paraId="77FD09B4" w14:textId="77777777" w:rsidR="00A37A64" w:rsidRPr="00A37A64" w:rsidRDefault="00A37A64" w:rsidP="00A37A64">
            <w:pPr>
              <w:spacing w:before="120" w:after="120"/>
              <w:contextualSpacing/>
              <w:jc w:val="center"/>
              <w:rPr>
                <w:rFonts w:eastAsia="Times New Roman"/>
                <w:sz w:val="24"/>
                <w:szCs w:val="24"/>
                <w:lang w:eastAsia="en-US"/>
              </w:rPr>
            </w:pPr>
            <w:r w:rsidRPr="00A37A64">
              <w:rPr>
                <w:rFonts w:eastAsia="Times New Roman"/>
                <w:sz w:val="24"/>
                <w:szCs w:val="24"/>
                <w:lang w:eastAsia="en-US"/>
              </w:rPr>
              <w:t>79,52</w:t>
            </w:r>
          </w:p>
        </w:tc>
      </w:tr>
      <w:tr w:rsidR="00A37A64" w:rsidRPr="00A37A64" w14:paraId="08FB95DD" w14:textId="77777777" w:rsidTr="00A37A64">
        <w:trPr>
          <w:jc w:val="right"/>
        </w:trPr>
        <w:tc>
          <w:tcPr>
            <w:tcW w:w="4230" w:type="dxa"/>
            <w:vAlign w:val="center"/>
          </w:tcPr>
          <w:p w14:paraId="2354E5F4" w14:textId="77777777" w:rsidR="00A37A64" w:rsidRPr="00A37A64" w:rsidRDefault="00A37A64" w:rsidP="00A37A64">
            <w:pPr>
              <w:spacing w:before="120" w:after="120"/>
              <w:contextualSpacing/>
              <w:jc w:val="center"/>
              <w:rPr>
                <w:rFonts w:eastAsia="Times New Roman"/>
                <w:sz w:val="24"/>
                <w:szCs w:val="24"/>
                <w:lang w:eastAsia="en-US"/>
              </w:rPr>
            </w:pPr>
            <w:r w:rsidRPr="00A37A64">
              <w:rPr>
                <w:rFonts w:eastAsia="Times New Roman"/>
                <w:sz w:val="24"/>
                <w:szCs w:val="24"/>
                <w:lang w:eastAsia="en-US"/>
              </w:rPr>
              <w:t>Standard Deviation</w:t>
            </w:r>
          </w:p>
        </w:tc>
        <w:tc>
          <w:tcPr>
            <w:tcW w:w="0" w:type="auto"/>
            <w:vAlign w:val="center"/>
          </w:tcPr>
          <w:p w14:paraId="0B0673FF" w14:textId="77777777" w:rsidR="00A37A64" w:rsidRPr="00A37A64" w:rsidRDefault="00A37A64" w:rsidP="00A37A64">
            <w:pPr>
              <w:spacing w:before="120" w:after="120"/>
              <w:contextualSpacing/>
              <w:jc w:val="center"/>
              <w:rPr>
                <w:rFonts w:eastAsia="Times New Roman"/>
                <w:sz w:val="24"/>
                <w:szCs w:val="24"/>
                <w:lang w:eastAsia="en-US"/>
              </w:rPr>
            </w:pPr>
            <w:r w:rsidRPr="00A37A64">
              <w:rPr>
                <w:rFonts w:eastAsia="Times New Roman"/>
                <w:sz w:val="24"/>
                <w:szCs w:val="24"/>
                <w:lang w:eastAsia="en-US"/>
              </w:rPr>
              <w:t>14,42</w:t>
            </w:r>
          </w:p>
        </w:tc>
        <w:tc>
          <w:tcPr>
            <w:tcW w:w="0" w:type="auto"/>
            <w:vAlign w:val="center"/>
          </w:tcPr>
          <w:p w14:paraId="119CB383" w14:textId="77777777" w:rsidR="00A37A64" w:rsidRPr="00A37A64" w:rsidRDefault="00A37A64" w:rsidP="00A37A64">
            <w:pPr>
              <w:spacing w:before="120" w:after="120"/>
              <w:contextualSpacing/>
              <w:jc w:val="center"/>
              <w:rPr>
                <w:rFonts w:eastAsia="Times New Roman"/>
                <w:sz w:val="24"/>
                <w:szCs w:val="24"/>
                <w:lang w:eastAsia="en-US"/>
              </w:rPr>
            </w:pPr>
            <w:r w:rsidRPr="00A37A64">
              <w:rPr>
                <w:rFonts w:eastAsia="Times New Roman"/>
                <w:sz w:val="24"/>
                <w:szCs w:val="24"/>
                <w:lang w:eastAsia="en-US"/>
              </w:rPr>
              <w:t>12,46</w:t>
            </w:r>
          </w:p>
        </w:tc>
        <w:tc>
          <w:tcPr>
            <w:tcW w:w="0" w:type="auto"/>
            <w:vAlign w:val="center"/>
          </w:tcPr>
          <w:p w14:paraId="439F7312" w14:textId="77777777" w:rsidR="00A37A64" w:rsidRPr="00A37A64" w:rsidRDefault="00A37A64" w:rsidP="00A37A64">
            <w:pPr>
              <w:spacing w:before="120" w:after="120"/>
              <w:contextualSpacing/>
              <w:jc w:val="center"/>
              <w:rPr>
                <w:rFonts w:eastAsia="Times New Roman"/>
                <w:sz w:val="24"/>
                <w:szCs w:val="24"/>
                <w:lang w:eastAsia="en-US"/>
              </w:rPr>
            </w:pPr>
            <w:r w:rsidRPr="00A37A64">
              <w:rPr>
                <w:rFonts w:eastAsia="Times New Roman"/>
                <w:sz w:val="24"/>
                <w:szCs w:val="24"/>
                <w:lang w:eastAsia="en-US"/>
              </w:rPr>
              <w:t>9,10</w:t>
            </w:r>
          </w:p>
        </w:tc>
        <w:tc>
          <w:tcPr>
            <w:tcW w:w="0" w:type="auto"/>
            <w:vAlign w:val="center"/>
          </w:tcPr>
          <w:p w14:paraId="570E4225" w14:textId="77777777" w:rsidR="00A37A64" w:rsidRPr="00A37A64" w:rsidRDefault="00A37A64" w:rsidP="00A37A64">
            <w:pPr>
              <w:spacing w:before="120" w:after="120"/>
              <w:contextualSpacing/>
              <w:jc w:val="center"/>
              <w:rPr>
                <w:rFonts w:eastAsia="Times New Roman"/>
                <w:sz w:val="24"/>
                <w:szCs w:val="24"/>
                <w:lang w:eastAsia="en-US"/>
              </w:rPr>
            </w:pPr>
            <w:r w:rsidRPr="00A37A64">
              <w:rPr>
                <w:rFonts w:eastAsia="Times New Roman"/>
                <w:sz w:val="24"/>
                <w:szCs w:val="24"/>
                <w:lang w:eastAsia="en-US"/>
              </w:rPr>
              <w:t>9,82</w:t>
            </w:r>
          </w:p>
        </w:tc>
        <w:tc>
          <w:tcPr>
            <w:tcW w:w="0" w:type="auto"/>
            <w:vAlign w:val="center"/>
          </w:tcPr>
          <w:p w14:paraId="590C5FA7" w14:textId="77777777" w:rsidR="00A37A64" w:rsidRPr="00A37A64" w:rsidRDefault="00A37A64" w:rsidP="00A37A64">
            <w:pPr>
              <w:spacing w:before="120" w:after="120"/>
              <w:contextualSpacing/>
              <w:jc w:val="center"/>
              <w:rPr>
                <w:rFonts w:eastAsia="Times New Roman"/>
                <w:sz w:val="24"/>
                <w:szCs w:val="24"/>
                <w:lang w:eastAsia="en-US"/>
              </w:rPr>
            </w:pPr>
            <w:r w:rsidRPr="00A37A64">
              <w:rPr>
                <w:rFonts w:eastAsia="Times New Roman"/>
                <w:sz w:val="24"/>
                <w:szCs w:val="24"/>
                <w:lang w:eastAsia="en-US"/>
              </w:rPr>
              <w:t>10,00</w:t>
            </w:r>
          </w:p>
        </w:tc>
        <w:tc>
          <w:tcPr>
            <w:tcW w:w="0" w:type="auto"/>
            <w:vAlign w:val="center"/>
          </w:tcPr>
          <w:p w14:paraId="4ABE7E2E" w14:textId="77777777" w:rsidR="00A37A64" w:rsidRPr="00A37A64" w:rsidRDefault="00A37A64" w:rsidP="00A37A64">
            <w:pPr>
              <w:spacing w:before="120" w:after="120"/>
              <w:contextualSpacing/>
              <w:jc w:val="center"/>
              <w:rPr>
                <w:rFonts w:eastAsia="Times New Roman"/>
                <w:sz w:val="24"/>
                <w:szCs w:val="24"/>
                <w:lang w:eastAsia="en-US"/>
              </w:rPr>
            </w:pPr>
            <w:r w:rsidRPr="00A37A64">
              <w:rPr>
                <w:rFonts w:eastAsia="Times New Roman"/>
                <w:sz w:val="24"/>
                <w:szCs w:val="24"/>
                <w:lang w:eastAsia="en-US"/>
              </w:rPr>
              <w:t>10,03</w:t>
            </w:r>
          </w:p>
        </w:tc>
      </w:tr>
      <w:tr w:rsidR="00A37A64" w:rsidRPr="00A37A64" w14:paraId="6FE87465" w14:textId="77777777" w:rsidTr="00A37A64">
        <w:trPr>
          <w:jc w:val="right"/>
        </w:trPr>
        <w:tc>
          <w:tcPr>
            <w:tcW w:w="4230" w:type="dxa"/>
            <w:vAlign w:val="center"/>
          </w:tcPr>
          <w:p w14:paraId="36B0E905" w14:textId="77777777" w:rsidR="00A37A64" w:rsidRPr="00A37A64" w:rsidRDefault="00A37A64" w:rsidP="00A37A64">
            <w:pPr>
              <w:spacing w:before="120" w:after="120"/>
              <w:contextualSpacing/>
              <w:jc w:val="center"/>
              <w:rPr>
                <w:rFonts w:eastAsia="Times New Roman"/>
                <w:sz w:val="24"/>
                <w:szCs w:val="24"/>
                <w:lang w:eastAsia="en-US"/>
              </w:rPr>
            </w:pPr>
            <w:r w:rsidRPr="00A37A64">
              <w:rPr>
                <w:rFonts w:eastAsia="Times New Roman"/>
                <w:sz w:val="24"/>
                <w:szCs w:val="24"/>
                <w:lang w:eastAsia="en-US"/>
              </w:rPr>
              <w:t>Varians</w:t>
            </w:r>
          </w:p>
        </w:tc>
        <w:tc>
          <w:tcPr>
            <w:tcW w:w="0" w:type="auto"/>
            <w:vAlign w:val="center"/>
          </w:tcPr>
          <w:p w14:paraId="3BE84553" w14:textId="77777777" w:rsidR="00A37A64" w:rsidRPr="00A37A64" w:rsidRDefault="00A37A64" w:rsidP="00A37A64">
            <w:pPr>
              <w:spacing w:before="120" w:after="120"/>
              <w:contextualSpacing/>
              <w:jc w:val="center"/>
              <w:rPr>
                <w:rFonts w:eastAsia="Times New Roman"/>
                <w:sz w:val="24"/>
                <w:szCs w:val="24"/>
                <w:lang w:eastAsia="en-US"/>
              </w:rPr>
            </w:pPr>
            <w:r w:rsidRPr="00A37A64">
              <w:rPr>
                <w:rFonts w:eastAsia="Times New Roman"/>
                <w:sz w:val="24"/>
                <w:szCs w:val="24"/>
                <w:lang w:eastAsia="en-US"/>
              </w:rPr>
              <w:t>207,9</w:t>
            </w:r>
          </w:p>
        </w:tc>
        <w:tc>
          <w:tcPr>
            <w:tcW w:w="0" w:type="auto"/>
            <w:vAlign w:val="center"/>
          </w:tcPr>
          <w:p w14:paraId="58B85931" w14:textId="77777777" w:rsidR="00A37A64" w:rsidRPr="00A37A64" w:rsidRDefault="00A37A64" w:rsidP="00A37A64">
            <w:pPr>
              <w:spacing w:before="120" w:after="120"/>
              <w:contextualSpacing/>
              <w:jc w:val="center"/>
              <w:rPr>
                <w:rFonts w:eastAsia="Times New Roman"/>
                <w:sz w:val="24"/>
                <w:szCs w:val="24"/>
                <w:lang w:eastAsia="en-US"/>
              </w:rPr>
            </w:pPr>
            <w:r w:rsidRPr="00A37A64">
              <w:rPr>
                <w:rFonts w:eastAsia="Times New Roman"/>
                <w:sz w:val="24"/>
                <w:szCs w:val="24"/>
                <w:lang w:eastAsia="en-US"/>
              </w:rPr>
              <w:t>155,2</w:t>
            </w:r>
          </w:p>
        </w:tc>
        <w:tc>
          <w:tcPr>
            <w:tcW w:w="0" w:type="auto"/>
            <w:vAlign w:val="center"/>
          </w:tcPr>
          <w:p w14:paraId="3342970D" w14:textId="77777777" w:rsidR="00A37A64" w:rsidRPr="00A37A64" w:rsidRDefault="00A37A64" w:rsidP="00A37A64">
            <w:pPr>
              <w:spacing w:before="120" w:after="120"/>
              <w:contextualSpacing/>
              <w:jc w:val="center"/>
              <w:rPr>
                <w:rFonts w:eastAsia="Times New Roman"/>
                <w:sz w:val="24"/>
                <w:szCs w:val="24"/>
                <w:lang w:eastAsia="en-US"/>
              </w:rPr>
            </w:pPr>
            <w:r w:rsidRPr="00A37A64">
              <w:rPr>
                <w:rFonts w:eastAsia="Times New Roman"/>
                <w:sz w:val="24"/>
                <w:szCs w:val="24"/>
                <w:lang w:eastAsia="en-US"/>
              </w:rPr>
              <w:t>82,8</w:t>
            </w:r>
          </w:p>
        </w:tc>
        <w:tc>
          <w:tcPr>
            <w:tcW w:w="0" w:type="auto"/>
            <w:vAlign w:val="center"/>
          </w:tcPr>
          <w:p w14:paraId="1CA996EE" w14:textId="77777777" w:rsidR="00A37A64" w:rsidRPr="00A37A64" w:rsidRDefault="00A37A64" w:rsidP="00A37A64">
            <w:pPr>
              <w:spacing w:before="120" w:after="120"/>
              <w:contextualSpacing/>
              <w:jc w:val="center"/>
              <w:rPr>
                <w:rFonts w:eastAsia="Times New Roman"/>
                <w:sz w:val="24"/>
                <w:szCs w:val="24"/>
                <w:lang w:eastAsia="en-US"/>
              </w:rPr>
            </w:pPr>
            <w:r w:rsidRPr="00A37A64">
              <w:rPr>
                <w:rFonts w:eastAsia="Times New Roman"/>
                <w:sz w:val="24"/>
                <w:szCs w:val="24"/>
                <w:lang w:eastAsia="en-US"/>
              </w:rPr>
              <w:t>96,43</w:t>
            </w:r>
          </w:p>
        </w:tc>
        <w:tc>
          <w:tcPr>
            <w:tcW w:w="0" w:type="auto"/>
            <w:vAlign w:val="center"/>
          </w:tcPr>
          <w:p w14:paraId="310FEDB2" w14:textId="77777777" w:rsidR="00A37A64" w:rsidRPr="00A37A64" w:rsidRDefault="00A37A64" w:rsidP="00A37A64">
            <w:pPr>
              <w:spacing w:before="120" w:after="120"/>
              <w:contextualSpacing/>
              <w:jc w:val="center"/>
              <w:rPr>
                <w:rFonts w:eastAsia="Times New Roman"/>
                <w:sz w:val="24"/>
                <w:szCs w:val="24"/>
                <w:lang w:eastAsia="en-US"/>
              </w:rPr>
            </w:pPr>
            <w:r w:rsidRPr="00A37A64">
              <w:rPr>
                <w:rFonts w:eastAsia="Times New Roman"/>
                <w:sz w:val="24"/>
                <w:szCs w:val="24"/>
                <w:lang w:eastAsia="en-US"/>
              </w:rPr>
              <w:t>100,0</w:t>
            </w:r>
          </w:p>
        </w:tc>
        <w:tc>
          <w:tcPr>
            <w:tcW w:w="0" w:type="auto"/>
            <w:vAlign w:val="center"/>
          </w:tcPr>
          <w:p w14:paraId="4B1E9935" w14:textId="77777777" w:rsidR="00A37A64" w:rsidRPr="00A37A64" w:rsidRDefault="00A37A64" w:rsidP="00A37A64">
            <w:pPr>
              <w:spacing w:before="120" w:after="120"/>
              <w:contextualSpacing/>
              <w:jc w:val="center"/>
              <w:rPr>
                <w:rFonts w:eastAsia="Times New Roman"/>
                <w:sz w:val="24"/>
                <w:szCs w:val="24"/>
                <w:lang w:eastAsia="en-US"/>
              </w:rPr>
            </w:pPr>
            <w:r w:rsidRPr="00A37A64">
              <w:rPr>
                <w:rFonts w:eastAsia="Times New Roman"/>
                <w:sz w:val="24"/>
                <w:szCs w:val="24"/>
                <w:lang w:eastAsia="en-US"/>
              </w:rPr>
              <w:t>100,6</w:t>
            </w:r>
          </w:p>
        </w:tc>
      </w:tr>
    </w:tbl>
    <w:p w14:paraId="28ABD02A" w14:textId="77777777" w:rsidR="00A37A64" w:rsidRPr="00A37A64" w:rsidRDefault="00A37A64" w:rsidP="00A37A64">
      <w:pPr>
        <w:spacing w:before="120" w:after="120" w:line="240" w:lineRule="auto"/>
        <w:jc w:val="both"/>
        <w:rPr>
          <w:rFonts w:ascii="Times New Roman" w:eastAsia="Times New Roman" w:hAnsi="Times New Roman" w:cs="Times New Roman"/>
          <w:sz w:val="24"/>
          <w:szCs w:val="24"/>
          <w:lang w:val="en-GB"/>
        </w:rPr>
      </w:pPr>
      <w:r w:rsidRPr="00A37A64">
        <w:rPr>
          <w:rFonts w:ascii="Times New Roman" w:eastAsia="Times New Roman" w:hAnsi="Times New Roman" w:cs="Times New Roman"/>
          <w:sz w:val="24"/>
          <w:szCs w:val="24"/>
        </w:rPr>
        <w:t>The results of the data analysis showed that in the pretest stage, experimental group 1 had the highest average (38.86) with the largest score variation, but after being treated at the posttest stage, this group achieved the most optimal improvement in learning outcomes with the highest average of 90.45 and a better level of value homogeneity (smallest standard deviation 9.82) compared to experimental group 2 (81.36) and control group (79, 52). This shows a tendency that the application of the PBL model integrated with TPACK has a higher effectiveness in improving student learning outcomes compared to the use of PBL models without TPACK or conventional methods in the context of this study.</w:t>
      </w:r>
    </w:p>
    <w:p w14:paraId="3D3ED12E" w14:textId="77777777" w:rsidR="00A37A64" w:rsidRPr="00A37A64" w:rsidRDefault="00A37A64" w:rsidP="00A37A64">
      <w:pPr>
        <w:spacing w:before="120" w:after="120" w:line="240" w:lineRule="auto"/>
        <w:jc w:val="both"/>
        <w:rPr>
          <w:rFonts w:ascii="Times New Roman" w:eastAsia="Times New Roman" w:hAnsi="Times New Roman" w:cs="Times New Roman"/>
          <w:b/>
          <w:bCs/>
          <w:sz w:val="24"/>
          <w:szCs w:val="24"/>
        </w:rPr>
      </w:pPr>
      <w:r w:rsidRPr="00A37A64">
        <w:rPr>
          <w:rFonts w:ascii="Times New Roman" w:eastAsia="Times New Roman" w:hAnsi="Times New Roman" w:cs="Times New Roman"/>
          <w:b/>
          <w:bCs/>
          <w:sz w:val="24"/>
          <w:szCs w:val="24"/>
        </w:rPr>
        <w:t xml:space="preserve">Pretest and Posttest Results Data Based on Higher Order Thinking Skills (HOTS) Indicators of Experiment and Control Class </w:t>
      </w:r>
    </w:p>
    <w:p w14:paraId="45A82BD1" w14:textId="77777777" w:rsidR="00A37A64" w:rsidRPr="00A37A64" w:rsidRDefault="00A37A64" w:rsidP="00A37A64">
      <w:pPr>
        <w:spacing w:before="120" w:after="120" w:line="240" w:lineRule="auto"/>
        <w:jc w:val="both"/>
        <w:rPr>
          <w:rFonts w:ascii="Times New Roman" w:eastAsia="Times New Roman" w:hAnsi="Times New Roman" w:cs="Times New Roman"/>
          <w:sz w:val="24"/>
          <w:szCs w:val="24"/>
        </w:rPr>
      </w:pPr>
      <w:r w:rsidRPr="00A37A64">
        <w:rPr>
          <w:rFonts w:ascii="Times New Roman" w:eastAsia="Times New Roman" w:hAnsi="Times New Roman" w:cs="Times New Roman"/>
          <w:sz w:val="24"/>
          <w:szCs w:val="24"/>
        </w:rPr>
        <w:t>The data on the results of the pretest and posttest based on HOTS indicators of the experimental and control classes can be seen in the following table:</w:t>
      </w:r>
    </w:p>
    <w:p w14:paraId="1768A228" w14:textId="27A7C6D3" w:rsidR="00A37A64" w:rsidRPr="00A37A64" w:rsidRDefault="00A37A64" w:rsidP="00A37A64">
      <w:pPr>
        <w:spacing w:before="120" w:after="120" w:line="240" w:lineRule="auto"/>
        <w:jc w:val="center"/>
        <w:rPr>
          <w:rFonts w:ascii="Times New Roman" w:eastAsia="Times New Roman" w:hAnsi="Times New Roman" w:cs="Times New Roman"/>
          <w:sz w:val="24"/>
          <w:szCs w:val="24"/>
        </w:rPr>
      </w:pPr>
      <w:bookmarkStart w:id="13" w:name="_Toc219281822"/>
      <w:bookmarkStart w:id="14" w:name="_Toc219281912"/>
      <w:bookmarkStart w:id="15" w:name="_Toc219282019"/>
      <w:r w:rsidRPr="00A37A64">
        <w:rPr>
          <w:rFonts w:ascii="Times New Roman" w:eastAsia="Times New Roman" w:hAnsi="Times New Roman" w:cs="Times New Roman"/>
          <w:sz w:val="24"/>
          <w:szCs w:val="24"/>
        </w:rPr>
        <w:t>Table 2</w:t>
      </w:r>
      <w:r>
        <w:rPr>
          <w:rFonts w:ascii="Times New Roman" w:eastAsia="Times New Roman" w:hAnsi="Times New Roman" w:cs="Times New Roman"/>
          <w:sz w:val="24"/>
          <w:szCs w:val="24"/>
        </w:rPr>
        <w:t>.</w:t>
      </w:r>
      <w:r w:rsidRPr="00A37A64">
        <w:rPr>
          <w:rFonts w:ascii="Times New Roman" w:eastAsia="Times New Roman" w:hAnsi="Times New Roman" w:cs="Times New Roman"/>
          <w:sz w:val="24"/>
          <w:szCs w:val="24"/>
        </w:rPr>
        <w:t xml:space="preserve"> Recapitulation of Average Pretest and Posttest Scores</w:t>
      </w:r>
      <w:bookmarkEnd w:id="13"/>
      <w:bookmarkEnd w:id="14"/>
      <w:bookmarkEnd w:id="15"/>
    </w:p>
    <w:tbl>
      <w:tblPr>
        <w:tblStyle w:val="TableGrid"/>
        <w:tblW w:w="8961" w:type="dxa"/>
        <w:jc w:val="right"/>
        <w:tblLook w:val="04A0" w:firstRow="1" w:lastRow="0" w:firstColumn="1" w:lastColumn="0" w:noHBand="0" w:noVBand="1"/>
      </w:tblPr>
      <w:tblGrid>
        <w:gridCol w:w="4062"/>
        <w:gridCol w:w="1111"/>
        <w:gridCol w:w="906"/>
        <w:gridCol w:w="906"/>
        <w:gridCol w:w="907"/>
        <w:gridCol w:w="1069"/>
      </w:tblGrid>
      <w:tr w:rsidR="00A37A64" w:rsidRPr="00A37A64" w14:paraId="1878099C" w14:textId="77777777" w:rsidTr="00A37A64">
        <w:trPr>
          <w:jc w:val="right"/>
        </w:trPr>
        <w:tc>
          <w:tcPr>
            <w:tcW w:w="4062" w:type="dxa"/>
            <w:vMerge w:val="restart"/>
            <w:vAlign w:val="center"/>
          </w:tcPr>
          <w:p w14:paraId="24219B4B" w14:textId="77777777" w:rsidR="00A37A64" w:rsidRPr="00A37A64" w:rsidRDefault="00A37A64" w:rsidP="00A37A64">
            <w:pPr>
              <w:spacing w:before="120" w:after="120"/>
              <w:contextualSpacing/>
              <w:jc w:val="center"/>
              <w:rPr>
                <w:rFonts w:eastAsia="Times New Roman"/>
                <w:b/>
                <w:bCs/>
                <w:sz w:val="24"/>
                <w:szCs w:val="24"/>
                <w:lang w:eastAsia="en-US"/>
              </w:rPr>
            </w:pPr>
            <w:r w:rsidRPr="00A37A64">
              <w:rPr>
                <w:rFonts w:eastAsia="Times New Roman"/>
                <w:b/>
                <w:bCs/>
                <w:sz w:val="24"/>
                <w:szCs w:val="24"/>
                <w:lang w:eastAsia="en-US"/>
              </w:rPr>
              <w:t>Groups</w:t>
            </w:r>
          </w:p>
        </w:tc>
        <w:tc>
          <w:tcPr>
            <w:tcW w:w="1111" w:type="dxa"/>
            <w:vMerge w:val="restart"/>
            <w:vAlign w:val="center"/>
          </w:tcPr>
          <w:p w14:paraId="384F6004" w14:textId="77777777" w:rsidR="00A37A64" w:rsidRPr="00A37A64" w:rsidRDefault="00A37A64" w:rsidP="00A37A64">
            <w:pPr>
              <w:spacing w:before="120" w:after="120"/>
              <w:contextualSpacing/>
              <w:jc w:val="center"/>
              <w:rPr>
                <w:rFonts w:eastAsia="Times New Roman"/>
                <w:b/>
                <w:bCs/>
                <w:sz w:val="24"/>
                <w:szCs w:val="24"/>
                <w:lang w:eastAsia="en-US"/>
              </w:rPr>
            </w:pPr>
            <w:r w:rsidRPr="00A37A64">
              <w:rPr>
                <w:rFonts w:eastAsia="Times New Roman"/>
                <w:b/>
                <w:bCs/>
                <w:sz w:val="24"/>
                <w:szCs w:val="24"/>
                <w:lang w:eastAsia="en-US"/>
              </w:rPr>
              <w:t>Test Time</w:t>
            </w:r>
          </w:p>
        </w:tc>
        <w:tc>
          <w:tcPr>
            <w:tcW w:w="2719" w:type="dxa"/>
            <w:gridSpan w:val="3"/>
            <w:vAlign w:val="center"/>
          </w:tcPr>
          <w:p w14:paraId="58235623" w14:textId="77777777" w:rsidR="00A37A64" w:rsidRPr="00A37A64" w:rsidRDefault="00A37A64" w:rsidP="00A37A64">
            <w:pPr>
              <w:spacing w:before="120" w:after="120"/>
              <w:contextualSpacing/>
              <w:jc w:val="center"/>
              <w:rPr>
                <w:rFonts w:eastAsia="Times New Roman"/>
                <w:b/>
                <w:bCs/>
                <w:sz w:val="24"/>
                <w:szCs w:val="24"/>
                <w:lang w:eastAsia="en-US"/>
              </w:rPr>
            </w:pPr>
            <w:r w:rsidRPr="00A37A64">
              <w:rPr>
                <w:rFonts w:eastAsia="Times New Roman"/>
                <w:b/>
                <w:bCs/>
                <w:sz w:val="24"/>
                <w:szCs w:val="24"/>
                <w:lang w:eastAsia="en-US"/>
              </w:rPr>
              <w:t>Level Kognitif</w:t>
            </w:r>
          </w:p>
        </w:tc>
        <w:tc>
          <w:tcPr>
            <w:tcW w:w="1069" w:type="dxa"/>
            <w:vMerge w:val="restart"/>
            <w:vAlign w:val="center"/>
          </w:tcPr>
          <w:p w14:paraId="5EAC7101" w14:textId="77777777" w:rsidR="00A37A64" w:rsidRPr="00A37A64" w:rsidRDefault="00A37A64" w:rsidP="00A37A64">
            <w:pPr>
              <w:spacing w:before="120" w:after="120"/>
              <w:contextualSpacing/>
              <w:jc w:val="center"/>
              <w:rPr>
                <w:rFonts w:eastAsia="Times New Roman"/>
                <w:b/>
                <w:bCs/>
                <w:sz w:val="24"/>
                <w:szCs w:val="24"/>
                <w:lang w:eastAsia="en-US"/>
              </w:rPr>
            </w:pPr>
            <w:r w:rsidRPr="00A37A64">
              <w:rPr>
                <w:rFonts w:eastAsia="Times New Roman"/>
                <w:b/>
                <w:bCs/>
                <w:sz w:val="24"/>
                <w:szCs w:val="24"/>
                <w:lang w:eastAsia="en-US"/>
              </w:rPr>
              <w:t>Total Average</w:t>
            </w:r>
          </w:p>
        </w:tc>
      </w:tr>
      <w:tr w:rsidR="00A37A64" w:rsidRPr="00A37A64" w14:paraId="42EBE25D" w14:textId="77777777" w:rsidTr="00A37A64">
        <w:trPr>
          <w:jc w:val="right"/>
        </w:trPr>
        <w:tc>
          <w:tcPr>
            <w:tcW w:w="4062" w:type="dxa"/>
            <w:vMerge/>
            <w:vAlign w:val="center"/>
          </w:tcPr>
          <w:p w14:paraId="50155BC5" w14:textId="77777777" w:rsidR="00A37A64" w:rsidRPr="00A37A64" w:rsidRDefault="00A37A64" w:rsidP="00A37A64">
            <w:pPr>
              <w:spacing w:before="120" w:after="120"/>
              <w:contextualSpacing/>
              <w:jc w:val="center"/>
              <w:rPr>
                <w:rFonts w:eastAsia="Times New Roman"/>
                <w:sz w:val="24"/>
                <w:szCs w:val="24"/>
                <w:lang w:eastAsia="en-US"/>
              </w:rPr>
            </w:pPr>
          </w:p>
        </w:tc>
        <w:tc>
          <w:tcPr>
            <w:tcW w:w="1111" w:type="dxa"/>
            <w:vMerge/>
            <w:vAlign w:val="center"/>
          </w:tcPr>
          <w:p w14:paraId="5E6E73F3" w14:textId="77777777" w:rsidR="00A37A64" w:rsidRPr="00A37A64" w:rsidRDefault="00A37A64" w:rsidP="00A37A64">
            <w:pPr>
              <w:spacing w:before="120" w:after="120"/>
              <w:contextualSpacing/>
              <w:jc w:val="center"/>
              <w:rPr>
                <w:rFonts w:eastAsia="Times New Roman"/>
                <w:sz w:val="24"/>
                <w:szCs w:val="24"/>
                <w:lang w:eastAsia="en-US"/>
              </w:rPr>
            </w:pPr>
          </w:p>
        </w:tc>
        <w:tc>
          <w:tcPr>
            <w:tcW w:w="906" w:type="dxa"/>
            <w:vAlign w:val="center"/>
          </w:tcPr>
          <w:p w14:paraId="4E6313E2" w14:textId="77777777" w:rsidR="00A37A64" w:rsidRPr="00A37A64" w:rsidRDefault="00A37A64" w:rsidP="00A37A64">
            <w:pPr>
              <w:spacing w:before="120" w:after="120"/>
              <w:contextualSpacing/>
              <w:jc w:val="center"/>
              <w:rPr>
                <w:rFonts w:eastAsia="Times New Roman"/>
                <w:b/>
                <w:bCs/>
                <w:sz w:val="24"/>
                <w:szCs w:val="24"/>
                <w:lang w:eastAsia="en-US"/>
              </w:rPr>
            </w:pPr>
            <w:r w:rsidRPr="00A37A64">
              <w:rPr>
                <w:rFonts w:eastAsia="Times New Roman"/>
                <w:b/>
                <w:bCs/>
                <w:sz w:val="24"/>
                <w:szCs w:val="24"/>
                <w:lang w:eastAsia="en-US"/>
              </w:rPr>
              <w:t>C4</w:t>
            </w:r>
          </w:p>
        </w:tc>
        <w:tc>
          <w:tcPr>
            <w:tcW w:w="906" w:type="dxa"/>
            <w:vAlign w:val="center"/>
          </w:tcPr>
          <w:p w14:paraId="49FEA070" w14:textId="77777777" w:rsidR="00A37A64" w:rsidRPr="00A37A64" w:rsidRDefault="00A37A64" w:rsidP="00A37A64">
            <w:pPr>
              <w:spacing w:before="120" w:after="120"/>
              <w:contextualSpacing/>
              <w:jc w:val="center"/>
              <w:rPr>
                <w:rFonts w:eastAsia="Times New Roman"/>
                <w:b/>
                <w:bCs/>
                <w:sz w:val="24"/>
                <w:szCs w:val="24"/>
                <w:lang w:eastAsia="en-US"/>
              </w:rPr>
            </w:pPr>
            <w:r w:rsidRPr="00A37A64">
              <w:rPr>
                <w:rFonts w:eastAsia="Times New Roman"/>
                <w:b/>
                <w:bCs/>
                <w:sz w:val="24"/>
                <w:szCs w:val="24"/>
                <w:lang w:eastAsia="en-US"/>
              </w:rPr>
              <w:t>C5</w:t>
            </w:r>
          </w:p>
        </w:tc>
        <w:tc>
          <w:tcPr>
            <w:tcW w:w="907" w:type="dxa"/>
            <w:vAlign w:val="center"/>
          </w:tcPr>
          <w:p w14:paraId="485DD2A3" w14:textId="77777777" w:rsidR="00A37A64" w:rsidRPr="00A37A64" w:rsidRDefault="00A37A64" w:rsidP="00A37A64">
            <w:pPr>
              <w:spacing w:before="120" w:after="120"/>
              <w:contextualSpacing/>
              <w:jc w:val="center"/>
              <w:rPr>
                <w:rFonts w:eastAsia="Times New Roman"/>
                <w:b/>
                <w:bCs/>
                <w:sz w:val="24"/>
                <w:szCs w:val="24"/>
                <w:lang w:eastAsia="en-US"/>
              </w:rPr>
            </w:pPr>
            <w:r w:rsidRPr="00A37A64">
              <w:rPr>
                <w:rFonts w:eastAsia="Times New Roman"/>
                <w:b/>
                <w:bCs/>
                <w:sz w:val="24"/>
                <w:szCs w:val="24"/>
                <w:lang w:eastAsia="en-US"/>
              </w:rPr>
              <w:t>C6</w:t>
            </w:r>
          </w:p>
        </w:tc>
        <w:tc>
          <w:tcPr>
            <w:tcW w:w="1069" w:type="dxa"/>
            <w:vMerge/>
            <w:vAlign w:val="center"/>
          </w:tcPr>
          <w:p w14:paraId="52668AE9" w14:textId="77777777" w:rsidR="00A37A64" w:rsidRPr="00A37A64" w:rsidRDefault="00A37A64" w:rsidP="00A37A64">
            <w:pPr>
              <w:spacing w:before="120" w:after="120"/>
              <w:contextualSpacing/>
              <w:jc w:val="center"/>
              <w:rPr>
                <w:rFonts w:eastAsia="Times New Roman"/>
                <w:sz w:val="24"/>
                <w:szCs w:val="24"/>
                <w:lang w:eastAsia="en-US"/>
              </w:rPr>
            </w:pPr>
          </w:p>
        </w:tc>
      </w:tr>
      <w:tr w:rsidR="00A37A64" w:rsidRPr="00A37A64" w14:paraId="2A50C16B" w14:textId="77777777" w:rsidTr="00A37A64">
        <w:trPr>
          <w:jc w:val="right"/>
        </w:trPr>
        <w:tc>
          <w:tcPr>
            <w:tcW w:w="4062" w:type="dxa"/>
            <w:vMerge w:val="restart"/>
            <w:vAlign w:val="center"/>
          </w:tcPr>
          <w:p w14:paraId="6E57DBD4" w14:textId="77777777" w:rsidR="00A37A64" w:rsidRPr="00A37A64" w:rsidRDefault="00A37A64" w:rsidP="00A37A64">
            <w:pPr>
              <w:spacing w:before="120" w:after="120"/>
              <w:contextualSpacing/>
              <w:jc w:val="center"/>
              <w:rPr>
                <w:rFonts w:eastAsia="Times New Roman"/>
                <w:sz w:val="24"/>
                <w:szCs w:val="24"/>
                <w:lang w:eastAsia="en-US"/>
              </w:rPr>
            </w:pPr>
            <w:r w:rsidRPr="00A37A64">
              <w:rPr>
                <w:rFonts w:eastAsia="Times New Roman"/>
                <w:sz w:val="24"/>
                <w:szCs w:val="24"/>
                <w:lang w:eastAsia="en-US"/>
              </w:rPr>
              <w:t>Experiential1 (PBL + TPACK)</w:t>
            </w:r>
          </w:p>
        </w:tc>
        <w:tc>
          <w:tcPr>
            <w:tcW w:w="1111" w:type="dxa"/>
            <w:vAlign w:val="center"/>
          </w:tcPr>
          <w:p w14:paraId="3B99503F" w14:textId="77777777" w:rsidR="00A37A64" w:rsidRPr="00A37A64" w:rsidRDefault="00A37A64" w:rsidP="00A37A64">
            <w:pPr>
              <w:spacing w:before="120" w:after="120"/>
              <w:contextualSpacing/>
              <w:jc w:val="center"/>
              <w:rPr>
                <w:rFonts w:eastAsia="Times New Roman"/>
                <w:sz w:val="24"/>
                <w:szCs w:val="24"/>
                <w:lang w:eastAsia="en-US"/>
              </w:rPr>
            </w:pPr>
            <w:r w:rsidRPr="00A37A64">
              <w:rPr>
                <w:rFonts w:eastAsia="Times New Roman"/>
                <w:sz w:val="24"/>
                <w:szCs w:val="24"/>
                <w:lang w:eastAsia="en-US"/>
              </w:rPr>
              <w:t>Pretest</w:t>
            </w:r>
          </w:p>
        </w:tc>
        <w:tc>
          <w:tcPr>
            <w:tcW w:w="906" w:type="dxa"/>
            <w:vAlign w:val="center"/>
          </w:tcPr>
          <w:p w14:paraId="03A86106" w14:textId="77777777" w:rsidR="00A37A64" w:rsidRPr="00A37A64" w:rsidRDefault="00A37A64" w:rsidP="00A37A64">
            <w:pPr>
              <w:spacing w:before="120" w:after="120"/>
              <w:contextualSpacing/>
              <w:jc w:val="center"/>
              <w:rPr>
                <w:rFonts w:eastAsia="Times New Roman"/>
                <w:sz w:val="24"/>
                <w:szCs w:val="24"/>
                <w:lang w:eastAsia="en-US"/>
              </w:rPr>
            </w:pPr>
            <w:r w:rsidRPr="00A37A64">
              <w:rPr>
                <w:rFonts w:eastAsia="Times New Roman"/>
                <w:sz w:val="24"/>
                <w:szCs w:val="24"/>
                <w:lang w:eastAsia="en-US"/>
              </w:rPr>
              <w:t>2,73</w:t>
            </w:r>
          </w:p>
        </w:tc>
        <w:tc>
          <w:tcPr>
            <w:tcW w:w="906" w:type="dxa"/>
            <w:vAlign w:val="center"/>
          </w:tcPr>
          <w:p w14:paraId="6D9ED860" w14:textId="77777777" w:rsidR="00A37A64" w:rsidRPr="00A37A64" w:rsidRDefault="00A37A64" w:rsidP="00A37A64">
            <w:pPr>
              <w:spacing w:before="120" w:after="120"/>
              <w:contextualSpacing/>
              <w:jc w:val="center"/>
              <w:rPr>
                <w:rFonts w:eastAsia="Times New Roman"/>
                <w:sz w:val="24"/>
                <w:szCs w:val="24"/>
                <w:lang w:eastAsia="en-US"/>
              </w:rPr>
            </w:pPr>
            <w:r w:rsidRPr="00A37A64">
              <w:rPr>
                <w:rFonts w:eastAsia="Times New Roman"/>
                <w:sz w:val="24"/>
                <w:szCs w:val="24"/>
                <w:lang w:eastAsia="en-US"/>
              </w:rPr>
              <w:t>28,18</w:t>
            </w:r>
          </w:p>
        </w:tc>
        <w:tc>
          <w:tcPr>
            <w:tcW w:w="907" w:type="dxa"/>
            <w:vAlign w:val="center"/>
          </w:tcPr>
          <w:p w14:paraId="01DFD9BC" w14:textId="77777777" w:rsidR="00A37A64" w:rsidRPr="00A37A64" w:rsidRDefault="00A37A64" w:rsidP="00A37A64">
            <w:pPr>
              <w:spacing w:before="120" w:after="120"/>
              <w:contextualSpacing/>
              <w:jc w:val="center"/>
              <w:rPr>
                <w:rFonts w:eastAsia="Times New Roman"/>
                <w:sz w:val="24"/>
                <w:szCs w:val="24"/>
                <w:lang w:eastAsia="en-US"/>
              </w:rPr>
            </w:pPr>
            <w:r w:rsidRPr="00A37A64">
              <w:rPr>
                <w:rFonts w:eastAsia="Times New Roman"/>
                <w:sz w:val="24"/>
                <w:szCs w:val="24"/>
                <w:lang w:eastAsia="en-US"/>
              </w:rPr>
              <w:t>7,95</w:t>
            </w:r>
          </w:p>
        </w:tc>
        <w:tc>
          <w:tcPr>
            <w:tcW w:w="1069" w:type="dxa"/>
            <w:vAlign w:val="center"/>
          </w:tcPr>
          <w:p w14:paraId="03B0A258" w14:textId="77777777" w:rsidR="00A37A64" w:rsidRPr="00A37A64" w:rsidRDefault="00A37A64" w:rsidP="00A37A64">
            <w:pPr>
              <w:spacing w:before="120" w:after="120"/>
              <w:contextualSpacing/>
              <w:jc w:val="center"/>
              <w:rPr>
                <w:rFonts w:eastAsia="Times New Roman"/>
                <w:sz w:val="24"/>
                <w:szCs w:val="24"/>
                <w:lang w:eastAsia="en-US"/>
              </w:rPr>
            </w:pPr>
            <w:r w:rsidRPr="00A37A64">
              <w:rPr>
                <w:rFonts w:eastAsia="Times New Roman"/>
                <w:sz w:val="24"/>
                <w:szCs w:val="24"/>
                <w:lang w:eastAsia="en-US"/>
              </w:rPr>
              <w:t>38,86</w:t>
            </w:r>
          </w:p>
        </w:tc>
      </w:tr>
      <w:tr w:rsidR="00A37A64" w:rsidRPr="00A37A64" w14:paraId="3921BE21" w14:textId="77777777" w:rsidTr="00A37A64">
        <w:trPr>
          <w:jc w:val="right"/>
        </w:trPr>
        <w:tc>
          <w:tcPr>
            <w:tcW w:w="4062" w:type="dxa"/>
            <w:vMerge/>
            <w:vAlign w:val="center"/>
          </w:tcPr>
          <w:p w14:paraId="77190039" w14:textId="77777777" w:rsidR="00A37A64" w:rsidRPr="00A37A64" w:rsidRDefault="00A37A64" w:rsidP="00A37A64">
            <w:pPr>
              <w:spacing w:before="120" w:after="120"/>
              <w:contextualSpacing/>
              <w:jc w:val="center"/>
              <w:rPr>
                <w:rFonts w:eastAsia="Times New Roman"/>
                <w:sz w:val="24"/>
                <w:szCs w:val="24"/>
                <w:lang w:eastAsia="en-US"/>
              </w:rPr>
            </w:pPr>
          </w:p>
        </w:tc>
        <w:tc>
          <w:tcPr>
            <w:tcW w:w="1111" w:type="dxa"/>
            <w:vAlign w:val="center"/>
          </w:tcPr>
          <w:p w14:paraId="152A7DEA" w14:textId="77777777" w:rsidR="00A37A64" w:rsidRPr="00A37A64" w:rsidRDefault="00A37A64" w:rsidP="00A37A64">
            <w:pPr>
              <w:spacing w:before="120" w:after="120"/>
              <w:contextualSpacing/>
              <w:jc w:val="center"/>
              <w:rPr>
                <w:rFonts w:eastAsia="Times New Roman"/>
                <w:sz w:val="24"/>
                <w:szCs w:val="24"/>
                <w:lang w:eastAsia="en-US"/>
              </w:rPr>
            </w:pPr>
            <w:r w:rsidRPr="00A37A64">
              <w:rPr>
                <w:rFonts w:eastAsia="Times New Roman"/>
                <w:sz w:val="24"/>
                <w:szCs w:val="24"/>
                <w:lang w:eastAsia="en-US"/>
              </w:rPr>
              <w:t>Posttest</w:t>
            </w:r>
          </w:p>
        </w:tc>
        <w:tc>
          <w:tcPr>
            <w:tcW w:w="906" w:type="dxa"/>
            <w:vAlign w:val="center"/>
          </w:tcPr>
          <w:p w14:paraId="1A2D24CB" w14:textId="77777777" w:rsidR="00A37A64" w:rsidRPr="00A37A64" w:rsidRDefault="00A37A64" w:rsidP="00A37A64">
            <w:pPr>
              <w:spacing w:before="120" w:after="120"/>
              <w:contextualSpacing/>
              <w:jc w:val="center"/>
              <w:rPr>
                <w:rFonts w:eastAsia="Times New Roman"/>
                <w:sz w:val="24"/>
                <w:szCs w:val="24"/>
                <w:lang w:eastAsia="en-US"/>
              </w:rPr>
            </w:pPr>
            <w:r w:rsidRPr="00A37A64">
              <w:rPr>
                <w:rFonts w:eastAsia="Times New Roman"/>
                <w:sz w:val="24"/>
                <w:szCs w:val="24"/>
                <w:lang w:eastAsia="en-US"/>
              </w:rPr>
              <w:t>17,73</w:t>
            </w:r>
          </w:p>
        </w:tc>
        <w:tc>
          <w:tcPr>
            <w:tcW w:w="906" w:type="dxa"/>
            <w:vAlign w:val="center"/>
          </w:tcPr>
          <w:p w14:paraId="50E94EB8" w14:textId="77777777" w:rsidR="00A37A64" w:rsidRPr="00A37A64" w:rsidRDefault="00A37A64" w:rsidP="00A37A64">
            <w:pPr>
              <w:spacing w:before="120" w:after="120"/>
              <w:contextualSpacing/>
              <w:jc w:val="center"/>
              <w:rPr>
                <w:rFonts w:eastAsia="Times New Roman"/>
                <w:sz w:val="24"/>
                <w:szCs w:val="24"/>
                <w:lang w:eastAsia="en-US"/>
              </w:rPr>
            </w:pPr>
            <w:r w:rsidRPr="00A37A64">
              <w:rPr>
                <w:rFonts w:eastAsia="Times New Roman"/>
                <w:sz w:val="24"/>
                <w:szCs w:val="24"/>
                <w:lang w:eastAsia="en-US"/>
              </w:rPr>
              <w:t>55,00</w:t>
            </w:r>
          </w:p>
        </w:tc>
        <w:tc>
          <w:tcPr>
            <w:tcW w:w="907" w:type="dxa"/>
            <w:vAlign w:val="center"/>
          </w:tcPr>
          <w:p w14:paraId="217DD3EB" w14:textId="77777777" w:rsidR="00A37A64" w:rsidRPr="00A37A64" w:rsidRDefault="00A37A64" w:rsidP="00A37A64">
            <w:pPr>
              <w:spacing w:before="120" w:after="120"/>
              <w:contextualSpacing/>
              <w:jc w:val="center"/>
              <w:rPr>
                <w:rFonts w:eastAsia="Times New Roman"/>
                <w:sz w:val="24"/>
                <w:szCs w:val="24"/>
                <w:lang w:eastAsia="en-US"/>
              </w:rPr>
            </w:pPr>
            <w:r w:rsidRPr="00A37A64">
              <w:rPr>
                <w:rFonts w:eastAsia="Times New Roman"/>
                <w:sz w:val="24"/>
                <w:szCs w:val="24"/>
                <w:lang w:eastAsia="en-US"/>
              </w:rPr>
              <w:t>17,73</w:t>
            </w:r>
          </w:p>
        </w:tc>
        <w:tc>
          <w:tcPr>
            <w:tcW w:w="1069" w:type="dxa"/>
            <w:vAlign w:val="center"/>
          </w:tcPr>
          <w:p w14:paraId="7337A780" w14:textId="77777777" w:rsidR="00A37A64" w:rsidRPr="00A37A64" w:rsidRDefault="00A37A64" w:rsidP="00A37A64">
            <w:pPr>
              <w:spacing w:before="120" w:after="120"/>
              <w:contextualSpacing/>
              <w:jc w:val="center"/>
              <w:rPr>
                <w:rFonts w:eastAsia="Times New Roman"/>
                <w:sz w:val="24"/>
                <w:szCs w:val="24"/>
                <w:lang w:eastAsia="en-US"/>
              </w:rPr>
            </w:pPr>
            <w:r w:rsidRPr="00A37A64">
              <w:rPr>
                <w:rFonts w:eastAsia="Times New Roman"/>
                <w:sz w:val="24"/>
                <w:szCs w:val="24"/>
                <w:lang w:eastAsia="en-US"/>
              </w:rPr>
              <w:t>90,46</w:t>
            </w:r>
          </w:p>
        </w:tc>
      </w:tr>
      <w:tr w:rsidR="00A37A64" w:rsidRPr="00A37A64" w14:paraId="3E71C1A0" w14:textId="77777777" w:rsidTr="00A37A64">
        <w:trPr>
          <w:jc w:val="right"/>
        </w:trPr>
        <w:tc>
          <w:tcPr>
            <w:tcW w:w="4062" w:type="dxa"/>
            <w:vMerge w:val="restart"/>
            <w:vAlign w:val="center"/>
          </w:tcPr>
          <w:p w14:paraId="5E87CFBA" w14:textId="77777777" w:rsidR="00A37A64" w:rsidRPr="00A37A64" w:rsidRDefault="00A37A64" w:rsidP="00A37A64">
            <w:pPr>
              <w:spacing w:before="120" w:after="120"/>
              <w:contextualSpacing/>
              <w:jc w:val="center"/>
              <w:rPr>
                <w:rFonts w:eastAsia="Times New Roman"/>
                <w:sz w:val="24"/>
                <w:szCs w:val="24"/>
                <w:lang w:eastAsia="en-US"/>
              </w:rPr>
            </w:pPr>
            <w:r w:rsidRPr="00A37A64">
              <w:rPr>
                <w:rFonts w:eastAsia="Times New Roman"/>
                <w:sz w:val="24"/>
                <w:szCs w:val="24"/>
                <w:lang w:eastAsia="en-US"/>
              </w:rPr>
              <w:lastRenderedPageBreak/>
              <w:t>Ekperimen 2 (PBL)</w:t>
            </w:r>
          </w:p>
        </w:tc>
        <w:tc>
          <w:tcPr>
            <w:tcW w:w="1111" w:type="dxa"/>
            <w:vAlign w:val="center"/>
          </w:tcPr>
          <w:p w14:paraId="1B390750" w14:textId="77777777" w:rsidR="00A37A64" w:rsidRPr="00A37A64" w:rsidRDefault="00A37A64" w:rsidP="00A37A64">
            <w:pPr>
              <w:spacing w:before="120" w:after="120"/>
              <w:contextualSpacing/>
              <w:jc w:val="center"/>
              <w:rPr>
                <w:rFonts w:eastAsia="Times New Roman"/>
                <w:sz w:val="24"/>
                <w:szCs w:val="24"/>
                <w:lang w:eastAsia="en-US"/>
              </w:rPr>
            </w:pPr>
            <w:r w:rsidRPr="00A37A64">
              <w:rPr>
                <w:rFonts w:eastAsia="Times New Roman"/>
                <w:sz w:val="24"/>
                <w:szCs w:val="24"/>
                <w:lang w:eastAsia="en-US"/>
              </w:rPr>
              <w:t>Pretest</w:t>
            </w:r>
          </w:p>
        </w:tc>
        <w:tc>
          <w:tcPr>
            <w:tcW w:w="906" w:type="dxa"/>
            <w:vAlign w:val="center"/>
          </w:tcPr>
          <w:p w14:paraId="75DA3B63" w14:textId="77777777" w:rsidR="00A37A64" w:rsidRPr="00A37A64" w:rsidRDefault="00A37A64" w:rsidP="00A37A64">
            <w:pPr>
              <w:spacing w:before="120" w:after="120"/>
              <w:contextualSpacing/>
              <w:jc w:val="center"/>
              <w:rPr>
                <w:rFonts w:eastAsia="Times New Roman"/>
                <w:sz w:val="24"/>
                <w:szCs w:val="24"/>
                <w:lang w:eastAsia="en-US"/>
              </w:rPr>
            </w:pPr>
            <w:r w:rsidRPr="00A37A64">
              <w:rPr>
                <w:rFonts w:eastAsia="Times New Roman"/>
                <w:sz w:val="24"/>
                <w:szCs w:val="24"/>
                <w:lang w:eastAsia="en-US"/>
              </w:rPr>
              <w:t>2,27</w:t>
            </w:r>
          </w:p>
        </w:tc>
        <w:tc>
          <w:tcPr>
            <w:tcW w:w="906" w:type="dxa"/>
            <w:vAlign w:val="center"/>
          </w:tcPr>
          <w:p w14:paraId="50252F10" w14:textId="77777777" w:rsidR="00A37A64" w:rsidRPr="00A37A64" w:rsidRDefault="00A37A64" w:rsidP="00A37A64">
            <w:pPr>
              <w:spacing w:before="120" w:after="120"/>
              <w:contextualSpacing/>
              <w:jc w:val="center"/>
              <w:rPr>
                <w:rFonts w:eastAsia="Times New Roman"/>
                <w:sz w:val="24"/>
                <w:szCs w:val="24"/>
                <w:lang w:eastAsia="en-US"/>
              </w:rPr>
            </w:pPr>
            <w:r w:rsidRPr="00A37A64">
              <w:rPr>
                <w:rFonts w:eastAsia="Times New Roman"/>
                <w:sz w:val="24"/>
                <w:szCs w:val="24"/>
                <w:lang w:eastAsia="en-US"/>
              </w:rPr>
              <w:t>24,09</w:t>
            </w:r>
          </w:p>
        </w:tc>
        <w:tc>
          <w:tcPr>
            <w:tcW w:w="907" w:type="dxa"/>
            <w:vAlign w:val="center"/>
          </w:tcPr>
          <w:p w14:paraId="3D8B5A72" w14:textId="77777777" w:rsidR="00A37A64" w:rsidRPr="00A37A64" w:rsidRDefault="00A37A64" w:rsidP="00A37A64">
            <w:pPr>
              <w:spacing w:before="120" w:after="120"/>
              <w:contextualSpacing/>
              <w:jc w:val="center"/>
              <w:rPr>
                <w:rFonts w:eastAsia="Times New Roman"/>
                <w:sz w:val="24"/>
                <w:szCs w:val="24"/>
                <w:lang w:eastAsia="en-US"/>
              </w:rPr>
            </w:pPr>
            <w:r w:rsidRPr="00A37A64">
              <w:rPr>
                <w:rFonts w:eastAsia="Times New Roman"/>
                <w:sz w:val="24"/>
                <w:szCs w:val="24"/>
                <w:lang w:eastAsia="en-US"/>
              </w:rPr>
              <w:t>5,00</w:t>
            </w:r>
          </w:p>
        </w:tc>
        <w:tc>
          <w:tcPr>
            <w:tcW w:w="1069" w:type="dxa"/>
            <w:vAlign w:val="center"/>
          </w:tcPr>
          <w:p w14:paraId="261994E4" w14:textId="77777777" w:rsidR="00A37A64" w:rsidRPr="00A37A64" w:rsidRDefault="00A37A64" w:rsidP="00A37A64">
            <w:pPr>
              <w:spacing w:before="120" w:after="120"/>
              <w:contextualSpacing/>
              <w:jc w:val="center"/>
              <w:rPr>
                <w:rFonts w:eastAsia="Times New Roman"/>
                <w:sz w:val="24"/>
                <w:szCs w:val="24"/>
                <w:lang w:eastAsia="en-US"/>
              </w:rPr>
            </w:pPr>
            <w:r w:rsidRPr="00A37A64">
              <w:rPr>
                <w:rFonts w:eastAsia="Times New Roman"/>
                <w:sz w:val="24"/>
                <w:szCs w:val="24"/>
                <w:lang w:eastAsia="en-US"/>
              </w:rPr>
              <w:t>31,36</w:t>
            </w:r>
          </w:p>
        </w:tc>
      </w:tr>
      <w:tr w:rsidR="00A37A64" w:rsidRPr="00A37A64" w14:paraId="45898A24" w14:textId="77777777" w:rsidTr="00A37A64">
        <w:trPr>
          <w:jc w:val="right"/>
        </w:trPr>
        <w:tc>
          <w:tcPr>
            <w:tcW w:w="4062" w:type="dxa"/>
            <w:vMerge/>
            <w:vAlign w:val="center"/>
          </w:tcPr>
          <w:p w14:paraId="2D1DE5F3" w14:textId="77777777" w:rsidR="00A37A64" w:rsidRPr="00A37A64" w:rsidRDefault="00A37A64" w:rsidP="00A37A64">
            <w:pPr>
              <w:spacing w:before="120" w:after="120"/>
              <w:contextualSpacing/>
              <w:jc w:val="center"/>
              <w:rPr>
                <w:rFonts w:eastAsia="Times New Roman"/>
                <w:sz w:val="24"/>
                <w:szCs w:val="24"/>
                <w:lang w:eastAsia="en-US"/>
              </w:rPr>
            </w:pPr>
          </w:p>
        </w:tc>
        <w:tc>
          <w:tcPr>
            <w:tcW w:w="1111" w:type="dxa"/>
            <w:vAlign w:val="center"/>
          </w:tcPr>
          <w:p w14:paraId="6F0B7869" w14:textId="77777777" w:rsidR="00A37A64" w:rsidRPr="00A37A64" w:rsidRDefault="00A37A64" w:rsidP="00A37A64">
            <w:pPr>
              <w:spacing w:before="120" w:after="120"/>
              <w:contextualSpacing/>
              <w:jc w:val="center"/>
              <w:rPr>
                <w:rFonts w:eastAsia="Times New Roman"/>
                <w:sz w:val="24"/>
                <w:szCs w:val="24"/>
                <w:lang w:eastAsia="en-US"/>
              </w:rPr>
            </w:pPr>
            <w:r w:rsidRPr="00A37A64">
              <w:rPr>
                <w:rFonts w:eastAsia="Times New Roman"/>
                <w:sz w:val="24"/>
                <w:szCs w:val="24"/>
                <w:lang w:eastAsia="en-US"/>
              </w:rPr>
              <w:t>Posttest</w:t>
            </w:r>
          </w:p>
        </w:tc>
        <w:tc>
          <w:tcPr>
            <w:tcW w:w="906" w:type="dxa"/>
            <w:vAlign w:val="center"/>
          </w:tcPr>
          <w:p w14:paraId="26174BE2" w14:textId="77777777" w:rsidR="00A37A64" w:rsidRPr="00A37A64" w:rsidRDefault="00A37A64" w:rsidP="00A37A64">
            <w:pPr>
              <w:spacing w:before="120" w:after="120"/>
              <w:contextualSpacing/>
              <w:jc w:val="center"/>
              <w:rPr>
                <w:rFonts w:eastAsia="Times New Roman"/>
                <w:sz w:val="24"/>
                <w:szCs w:val="24"/>
                <w:lang w:eastAsia="en-US"/>
              </w:rPr>
            </w:pPr>
            <w:r w:rsidRPr="00A37A64">
              <w:rPr>
                <w:rFonts w:eastAsia="Times New Roman"/>
                <w:sz w:val="24"/>
                <w:szCs w:val="24"/>
                <w:lang w:eastAsia="en-US"/>
              </w:rPr>
              <w:t>15,91</w:t>
            </w:r>
          </w:p>
        </w:tc>
        <w:tc>
          <w:tcPr>
            <w:tcW w:w="906" w:type="dxa"/>
            <w:vAlign w:val="center"/>
          </w:tcPr>
          <w:p w14:paraId="66C6DAC4" w14:textId="77777777" w:rsidR="00A37A64" w:rsidRPr="00A37A64" w:rsidRDefault="00A37A64" w:rsidP="00A37A64">
            <w:pPr>
              <w:spacing w:before="120" w:after="120"/>
              <w:contextualSpacing/>
              <w:jc w:val="center"/>
              <w:rPr>
                <w:rFonts w:eastAsia="Times New Roman"/>
                <w:sz w:val="24"/>
                <w:szCs w:val="24"/>
                <w:lang w:eastAsia="en-US"/>
              </w:rPr>
            </w:pPr>
            <w:r w:rsidRPr="00A37A64">
              <w:rPr>
                <w:rFonts w:eastAsia="Times New Roman"/>
                <w:sz w:val="24"/>
                <w:szCs w:val="24"/>
                <w:lang w:eastAsia="en-US"/>
              </w:rPr>
              <w:t>51,36</w:t>
            </w:r>
          </w:p>
        </w:tc>
        <w:tc>
          <w:tcPr>
            <w:tcW w:w="907" w:type="dxa"/>
            <w:vAlign w:val="center"/>
          </w:tcPr>
          <w:p w14:paraId="75C37DD9" w14:textId="77777777" w:rsidR="00A37A64" w:rsidRPr="00A37A64" w:rsidRDefault="00A37A64" w:rsidP="00A37A64">
            <w:pPr>
              <w:spacing w:before="120" w:after="120"/>
              <w:contextualSpacing/>
              <w:jc w:val="center"/>
              <w:rPr>
                <w:rFonts w:eastAsia="Times New Roman"/>
                <w:sz w:val="24"/>
                <w:szCs w:val="24"/>
                <w:lang w:eastAsia="en-US"/>
              </w:rPr>
            </w:pPr>
            <w:r w:rsidRPr="00A37A64">
              <w:rPr>
                <w:rFonts w:eastAsia="Times New Roman"/>
                <w:sz w:val="24"/>
                <w:szCs w:val="24"/>
                <w:lang w:eastAsia="en-US"/>
              </w:rPr>
              <w:t>14,09</w:t>
            </w:r>
          </w:p>
        </w:tc>
        <w:tc>
          <w:tcPr>
            <w:tcW w:w="1069" w:type="dxa"/>
            <w:vAlign w:val="center"/>
          </w:tcPr>
          <w:p w14:paraId="67BFD634" w14:textId="77777777" w:rsidR="00A37A64" w:rsidRPr="00A37A64" w:rsidRDefault="00A37A64" w:rsidP="00A37A64">
            <w:pPr>
              <w:spacing w:before="120" w:after="120"/>
              <w:contextualSpacing/>
              <w:jc w:val="center"/>
              <w:rPr>
                <w:rFonts w:eastAsia="Times New Roman"/>
                <w:sz w:val="24"/>
                <w:szCs w:val="24"/>
                <w:lang w:eastAsia="en-US"/>
              </w:rPr>
            </w:pPr>
            <w:r w:rsidRPr="00A37A64">
              <w:rPr>
                <w:rFonts w:eastAsia="Times New Roman"/>
                <w:sz w:val="24"/>
                <w:szCs w:val="24"/>
                <w:lang w:eastAsia="en-US"/>
              </w:rPr>
              <w:t>81,36</w:t>
            </w:r>
          </w:p>
        </w:tc>
      </w:tr>
      <w:tr w:rsidR="00A37A64" w:rsidRPr="00A37A64" w14:paraId="1EEF1DE5" w14:textId="77777777" w:rsidTr="00A37A64">
        <w:trPr>
          <w:jc w:val="right"/>
        </w:trPr>
        <w:tc>
          <w:tcPr>
            <w:tcW w:w="4062" w:type="dxa"/>
            <w:vMerge w:val="restart"/>
            <w:vAlign w:val="center"/>
          </w:tcPr>
          <w:p w14:paraId="48856D94" w14:textId="77777777" w:rsidR="00A37A64" w:rsidRPr="00A37A64" w:rsidRDefault="00A37A64" w:rsidP="00A37A64">
            <w:pPr>
              <w:spacing w:before="120" w:after="120"/>
              <w:contextualSpacing/>
              <w:jc w:val="center"/>
              <w:rPr>
                <w:rFonts w:eastAsia="Times New Roman"/>
                <w:sz w:val="24"/>
                <w:szCs w:val="24"/>
                <w:lang w:eastAsia="en-US"/>
              </w:rPr>
            </w:pPr>
            <w:r w:rsidRPr="00A37A64">
              <w:rPr>
                <w:rFonts w:eastAsia="Times New Roman"/>
                <w:sz w:val="24"/>
                <w:szCs w:val="24"/>
                <w:lang w:eastAsia="en-US"/>
              </w:rPr>
              <w:t>Control Class</w:t>
            </w:r>
          </w:p>
          <w:p w14:paraId="41C9B330" w14:textId="77777777" w:rsidR="00A37A64" w:rsidRPr="00A37A64" w:rsidRDefault="00A37A64" w:rsidP="00A37A64">
            <w:pPr>
              <w:spacing w:before="120" w:after="120"/>
              <w:contextualSpacing/>
              <w:jc w:val="center"/>
              <w:rPr>
                <w:rFonts w:eastAsia="Times New Roman"/>
                <w:sz w:val="24"/>
                <w:szCs w:val="24"/>
                <w:lang w:eastAsia="en-US"/>
              </w:rPr>
            </w:pPr>
            <w:r w:rsidRPr="00A37A64">
              <w:rPr>
                <w:rFonts w:eastAsia="Times New Roman"/>
                <w:sz w:val="24"/>
                <w:szCs w:val="24"/>
                <w:lang w:eastAsia="en-US"/>
              </w:rPr>
              <w:t>(Conventional)</w:t>
            </w:r>
          </w:p>
        </w:tc>
        <w:tc>
          <w:tcPr>
            <w:tcW w:w="1111" w:type="dxa"/>
            <w:vAlign w:val="center"/>
          </w:tcPr>
          <w:p w14:paraId="71EC0BE8" w14:textId="77777777" w:rsidR="00A37A64" w:rsidRPr="00A37A64" w:rsidRDefault="00A37A64" w:rsidP="00A37A64">
            <w:pPr>
              <w:spacing w:before="120" w:after="120"/>
              <w:contextualSpacing/>
              <w:jc w:val="center"/>
              <w:rPr>
                <w:rFonts w:eastAsia="Times New Roman"/>
                <w:sz w:val="24"/>
                <w:szCs w:val="24"/>
                <w:lang w:eastAsia="en-US"/>
              </w:rPr>
            </w:pPr>
            <w:r w:rsidRPr="00A37A64">
              <w:rPr>
                <w:rFonts w:eastAsia="Times New Roman"/>
                <w:sz w:val="24"/>
                <w:szCs w:val="24"/>
                <w:lang w:eastAsia="en-US"/>
              </w:rPr>
              <w:t>Pretest</w:t>
            </w:r>
          </w:p>
        </w:tc>
        <w:tc>
          <w:tcPr>
            <w:tcW w:w="906" w:type="dxa"/>
            <w:vAlign w:val="center"/>
          </w:tcPr>
          <w:p w14:paraId="0791AA76" w14:textId="77777777" w:rsidR="00A37A64" w:rsidRPr="00A37A64" w:rsidRDefault="00A37A64" w:rsidP="00A37A64">
            <w:pPr>
              <w:spacing w:before="120" w:after="120"/>
              <w:contextualSpacing/>
              <w:jc w:val="center"/>
              <w:rPr>
                <w:rFonts w:eastAsia="Times New Roman"/>
                <w:sz w:val="24"/>
                <w:szCs w:val="24"/>
                <w:lang w:eastAsia="en-US"/>
              </w:rPr>
            </w:pPr>
            <w:r w:rsidRPr="00A37A64">
              <w:rPr>
                <w:rFonts w:eastAsia="Times New Roman"/>
                <w:sz w:val="24"/>
                <w:szCs w:val="24"/>
                <w:lang w:eastAsia="en-US"/>
              </w:rPr>
              <w:t>2,73</w:t>
            </w:r>
          </w:p>
        </w:tc>
        <w:tc>
          <w:tcPr>
            <w:tcW w:w="906" w:type="dxa"/>
            <w:vAlign w:val="center"/>
          </w:tcPr>
          <w:p w14:paraId="7A4528FC" w14:textId="77777777" w:rsidR="00A37A64" w:rsidRPr="00A37A64" w:rsidRDefault="00A37A64" w:rsidP="00A37A64">
            <w:pPr>
              <w:spacing w:before="120" w:after="120"/>
              <w:contextualSpacing/>
              <w:jc w:val="center"/>
              <w:rPr>
                <w:rFonts w:eastAsia="Times New Roman"/>
                <w:sz w:val="24"/>
                <w:szCs w:val="24"/>
                <w:lang w:eastAsia="en-US"/>
              </w:rPr>
            </w:pPr>
            <w:r w:rsidRPr="00A37A64">
              <w:rPr>
                <w:rFonts w:eastAsia="Times New Roman"/>
                <w:sz w:val="24"/>
                <w:szCs w:val="24"/>
                <w:lang w:eastAsia="en-US"/>
              </w:rPr>
              <w:t>20,45</w:t>
            </w:r>
          </w:p>
        </w:tc>
        <w:tc>
          <w:tcPr>
            <w:tcW w:w="907" w:type="dxa"/>
            <w:vAlign w:val="center"/>
          </w:tcPr>
          <w:p w14:paraId="4A424D9F" w14:textId="77777777" w:rsidR="00A37A64" w:rsidRPr="00A37A64" w:rsidRDefault="00A37A64" w:rsidP="00A37A64">
            <w:pPr>
              <w:spacing w:before="120" w:after="120"/>
              <w:contextualSpacing/>
              <w:jc w:val="center"/>
              <w:rPr>
                <w:rFonts w:eastAsia="Times New Roman"/>
                <w:sz w:val="24"/>
                <w:szCs w:val="24"/>
                <w:lang w:eastAsia="en-US"/>
              </w:rPr>
            </w:pPr>
            <w:r w:rsidRPr="00A37A64">
              <w:rPr>
                <w:rFonts w:eastAsia="Times New Roman"/>
                <w:sz w:val="24"/>
                <w:szCs w:val="24"/>
                <w:lang w:eastAsia="en-US"/>
              </w:rPr>
              <w:t>4,09</w:t>
            </w:r>
          </w:p>
        </w:tc>
        <w:tc>
          <w:tcPr>
            <w:tcW w:w="1069" w:type="dxa"/>
            <w:vAlign w:val="center"/>
          </w:tcPr>
          <w:p w14:paraId="6CA8B330" w14:textId="77777777" w:rsidR="00A37A64" w:rsidRPr="00A37A64" w:rsidRDefault="00A37A64" w:rsidP="00A37A64">
            <w:pPr>
              <w:spacing w:before="120" w:after="120"/>
              <w:contextualSpacing/>
              <w:jc w:val="center"/>
              <w:rPr>
                <w:rFonts w:eastAsia="Times New Roman"/>
                <w:sz w:val="24"/>
                <w:szCs w:val="24"/>
                <w:lang w:eastAsia="en-US"/>
              </w:rPr>
            </w:pPr>
            <w:r w:rsidRPr="00A37A64">
              <w:rPr>
                <w:rFonts w:eastAsia="Times New Roman"/>
                <w:sz w:val="24"/>
                <w:szCs w:val="24"/>
                <w:lang w:eastAsia="en-US"/>
              </w:rPr>
              <w:t>27,27</w:t>
            </w:r>
          </w:p>
        </w:tc>
      </w:tr>
      <w:tr w:rsidR="00A37A64" w:rsidRPr="00A37A64" w14:paraId="1557C99F" w14:textId="77777777" w:rsidTr="00A37A64">
        <w:trPr>
          <w:jc w:val="right"/>
        </w:trPr>
        <w:tc>
          <w:tcPr>
            <w:tcW w:w="4062" w:type="dxa"/>
            <w:vMerge/>
            <w:vAlign w:val="center"/>
          </w:tcPr>
          <w:p w14:paraId="565A8B91" w14:textId="77777777" w:rsidR="00A37A64" w:rsidRPr="00A37A64" w:rsidRDefault="00A37A64" w:rsidP="00A37A64">
            <w:pPr>
              <w:spacing w:before="120" w:after="120"/>
              <w:contextualSpacing/>
              <w:jc w:val="center"/>
              <w:rPr>
                <w:rFonts w:eastAsia="Times New Roman"/>
                <w:sz w:val="24"/>
                <w:szCs w:val="24"/>
                <w:lang w:eastAsia="en-US"/>
              </w:rPr>
            </w:pPr>
          </w:p>
        </w:tc>
        <w:tc>
          <w:tcPr>
            <w:tcW w:w="1111" w:type="dxa"/>
            <w:vAlign w:val="center"/>
          </w:tcPr>
          <w:p w14:paraId="6AA92E69" w14:textId="77777777" w:rsidR="00A37A64" w:rsidRPr="00A37A64" w:rsidRDefault="00A37A64" w:rsidP="00A37A64">
            <w:pPr>
              <w:spacing w:before="120" w:after="120"/>
              <w:contextualSpacing/>
              <w:jc w:val="center"/>
              <w:rPr>
                <w:rFonts w:eastAsia="Times New Roman"/>
                <w:sz w:val="24"/>
                <w:szCs w:val="24"/>
                <w:lang w:eastAsia="en-US"/>
              </w:rPr>
            </w:pPr>
            <w:r w:rsidRPr="00A37A64">
              <w:rPr>
                <w:rFonts w:eastAsia="Times New Roman"/>
                <w:sz w:val="24"/>
                <w:szCs w:val="24"/>
                <w:lang w:eastAsia="en-US"/>
              </w:rPr>
              <w:t>Posttest</w:t>
            </w:r>
          </w:p>
        </w:tc>
        <w:tc>
          <w:tcPr>
            <w:tcW w:w="906" w:type="dxa"/>
            <w:vAlign w:val="center"/>
          </w:tcPr>
          <w:p w14:paraId="77667232" w14:textId="77777777" w:rsidR="00A37A64" w:rsidRPr="00A37A64" w:rsidRDefault="00A37A64" w:rsidP="00A37A64">
            <w:pPr>
              <w:spacing w:before="120" w:after="120"/>
              <w:contextualSpacing/>
              <w:jc w:val="center"/>
              <w:rPr>
                <w:rFonts w:eastAsia="Times New Roman"/>
                <w:sz w:val="24"/>
                <w:szCs w:val="24"/>
                <w:lang w:eastAsia="en-US"/>
              </w:rPr>
            </w:pPr>
            <w:r w:rsidRPr="00A37A64">
              <w:rPr>
                <w:rFonts w:eastAsia="Times New Roman"/>
                <w:sz w:val="24"/>
                <w:szCs w:val="24"/>
                <w:lang w:eastAsia="en-US"/>
              </w:rPr>
              <w:t>15,45</w:t>
            </w:r>
          </w:p>
        </w:tc>
        <w:tc>
          <w:tcPr>
            <w:tcW w:w="906" w:type="dxa"/>
            <w:vAlign w:val="center"/>
          </w:tcPr>
          <w:p w14:paraId="3037D244" w14:textId="77777777" w:rsidR="00A37A64" w:rsidRPr="00A37A64" w:rsidRDefault="00A37A64" w:rsidP="00A37A64">
            <w:pPr>
              <w:spacing w:before="120" w:after="120"/>
              <w:contextualSpacing/>
              <w:jc w:val="center"/>
              <w:rPr>
                <w:rFonts w:eastAsia="Times New Roman"/>
                <w:sz w:val="24"/>
                <w:szCs w:val="24"/>
                <w:lang w:eastAsia="en-US"/>
              </w:rPr>
            </w:pPr>
            <w:r w:rsidRPr="00A37A64">
              <w:rPr>
                <w:rFonts w:eastAsia="Times New Roman"/>
                <w:sz w:val="24"/>
                <w:szCs w:val="24"/>
                <w:lang w:eastAsia="en-US"/>
              </w:rPr>
              <w:t>48,18</w:t>
            </w:r>
          </w:p>
        </w:tc>
        <w:tc>
          <w:tcPr>
            <w:tcW w:w="907" w:type="dxa"/>
            <w:vAlign w:val="center"/>
          </w:tcPr>
          <w:p w14:paraId="688A35F8" w14:textId="77777777" w:rsidR="00A37A64" w:rsidRPr="00A37A64" w:rsidRDefault="00A37A64" w:rsidP="00A37A64">
            <w:pPr>
              <w:spacing w:before="120" w:after="120"/>
              <w:contextualSpacing/>
              <w:jc w:val="center"/>
              <w:rPr>
                <w:rFonts w:eastAsia="Times New Roman"/>
                <w:sz w:val="24"/>
                <w:szCs w:val="24"/>
                <w:lang w:eastAsia="en-US"/>
              </w:rPr>
            </w:pPr>
            <w:r w:rsidRPr="00A37A64">
              <w:rPr>
                <w:rFonts w:eastAsia="Times New Roman"/>
                <w:sz w:val="24"/>
                <w:szCs w:val="24"/>
                <w:lang w:eastAsia="en-US"/>
              </w:rPr>
              <w:t>12,27</w:t>
            </w:r>
          </w:p>
        </w:tc>
        <w:tc>
          <w:tcPr>
            <w:tcW w:w="1069" w:type="dxa"/>
            <w:vAlign w:val="center"/>
          </w:tcPr>
          <w:p w14:paraId="19455EF0" w14:textId="77777777" w:rsidR="00A37A64" w:rsidRPr="00A37A64" w:rsidRDefault="00A37A64" w:rsidP="00A37A64">
            <w:pPr>
              <w:spacing w:before="120" w:after="120"/>
              <w:contextualSpacing/>
              <w:jc w:val="center"/>
              <w:rPr>
                <w:rFonts w:eastAsia="Times New Roman"/>
                <w:sz w:val="24"/>
                <w:szCs w:val="24"/>
                <w:lang w:eastAsia="en-US"/>
              </w:rPr>
            </w:pPr>
            <w:r w:rsidRPr="00A37A64">
              <w:rPr>
                <w:rFonts w:eastAsia="Times New Roman"/>
                <w:sz w:val="24"/>
                <w:szCs w:val="24"/>
                <w:lang w:eastAsia="en-US"/>
              </w:rPr>
              <w:t>75,91</w:t>
            </w:r>
          </w:p>
        </w:tc>
      </w:tr>
    </w:tbl>
    <w:p w14:paraId="6FD002A0" w14:textId="77777777" w:rsidR="00A37A64" w:rsidRPr="00A37A64" w:rsidRDefault="00A37A64" w:rsidP="00A37A64">
      <w:pPr>
        <w:spacing w:before="120" w:after="120" w:line="240" w:lineRule="auto"/>
        <w:jc w:val="both"/>
        <w:rPr>
          <w:rFonts w:ascii="Times New Roman" w:eastAsia="Times New Roman" w:hAnsi="Times New Roman" w:cs="Times New Roman"/>
          <w:sz w:val="24"/>
          <w:szCs w:val="24"/>
        </w:rPr>
      </w:pPr>
      <w:r w:rsidRPr="00A37A64">
        <w:rPr>
          <w:rFonts w:ascii="Times New Roman" w:eastAsia="Times New Roman" w:hAnsi="Times New Roman" w:cs="Times New Roman"/>
          <w:sz w:val="24"/>
          <w:szCs w:val="24"/>
        </w:rPr>
        <w:t>The test results showed that the students' initial HOTS ability in all classes was relatively low, but after treatment, experimental class 1 (TPACK-integrated PBL) achieved the best performance with an average posttest of 90.46, outperforming the non-technology PBL class (81.36) and the conventional class (75.91). Significant advantages can be seen in the indicators of evaluating and creating, where the integration of technology effectively helps visualize abstract concepts so that it is able to trigger students' creativity and critical thinking skills more optimally than other learning models.</w:t>
      </w:r>
    </w:p>
    <w:p w14:paraId="4D2AFAF3" w14:textId="77777777" w:rsidR="00A37A64" w:rsidRPr="00A37A64" w:rsidRDefault="00A37A64" w:rsidP="00A37A64">
      <w:pPr>
        <w:spacing w:before="120" w:after="120" w:line="240" w:lineRule="auto"/>
        <w:jc w:val="both"/>
        <w:rPr>
          <w:rFonts w:ascii="Times New Roman" w:eastAsia="Times New Roman" w:hAnsi="Times New Roman" w:cs="Times New Roman"/>
          <w:b/>
          <w:bCs/>
          <w:sz w:val="24"/>
          <w:szCs w:val="24"/>
        </w:rPr>
      </w:pPr>
      <w:r w:rsidRPr="00A37A64">
        <w:rPr>
          <w:rFonts w:ascii="Times New Roman" w:eastAsia="Times New Roman" w:hAnsi="Times New Roman" w:cs="Times New Roman"/>
          <w:b/>
          <w:bCs/>
          <w:sz w:val="24"/>
          <w:szCs w:val="24"/>
        </w:rPr>
        <w:t>Results of Analysis of Kruskal Wallis Test Using SPSS</w:t>
      </w:r>
    </w:p>
    <w:p w14:paraId="2630CE1D" w14:textId="00E5ED02" w:rsidR="00A37A64" w:rsidRPr="00A37A64" w:rsidRDefault="00A37A64" w:rsidP="00A37A64">
      <w:pPr>
        <w:spacing w:before="120" w:after="120" w:line="240" w:lineRule="auto"/>
        <w:jc w:val="both"/>
        <w:rPr>
          <w:rFonts w:ascii="Times New Roman" w:eastAsia="Times New Roman" w:hAnsi="Times New Roman" w:cs="Times New Roman"/>
          <w:sz w:val="24"/>
          <w:szCs w:val="24"/>
        </w:rPr>
      </w:pPr>
      <w:r w:rsidRPr="00A37A64">
        <w:rPr>
          <w:rFonts w:ascii="Times New Roman" w:eastAsia="Times New Roman" w:hAnsi="Times New Roman" w:cs="Times New Roman"/>
          <w:sz w:val="24"/>
          <w:szCs w:val="24"/>
        </w:rPr>
        <w:t xml:space="preserve">Before testing the hypothesis in a non-parametric manner, an overview of the distribution of value data posttest In the three research groups, it can be seen in the following table </w:t>
      </w:r>
      <w:bookmarkStart w:id="16" w:name="_Hlk219273918"/>
      <w:r w:rsidR="00065A0C">
        <w:rPr>
          <w:rFonts w:ascii="Times New Roman" w:eastAsia="Times New Roman" w:hAnsi="Times New Roman" w:cs="Times New Roman"/>
          <w:sz w:val="24"/>
          <w:szCs w:val="24"/>
        </w:rPr>
        <w:t>3.</w:t>
      </w:r>
      <w:r w:rsidRPr="00A37A64">
        <w:rPr>
          <w:rFonts w:ascii="Times New Roman" w:eastAsia="Times New Roman" w:hAnsi="Times New Roman" w:cs="Times New Roman"/>
          <w:sz w:val="24"/>
          <w:szCs w:val="24"/>
        </w:rPr>
        <w:tab/>
      </w:r>
    </w:p>
    <w:p w14:paraId="74C998CE" w14:textId="20017854" w:rsidR="00A37A64" w:rsidRPr="00A37A64" w:rsidRDefault="00A37A64" w:rsidP="00A37A64">
      <w:pPr>
        <w:spacing w:before="120" w:after="120" w:line="240" w:lineRule="auto"/>
        <w:jc w:val="center"/>
        <w:rPr>
          <w:rFonts w:ascii="Times New Roman" w:eastAsia="Times New Roman" w:hAnsi="Times New Roman" w:cs="Times New Roman"/>
          <w:i/>
          <w:iCs/>
          <w:sz w:val="24"/>
          <w:szCs w:val="24"/>
        </w:rPr>
      </w:pPr>
      <w:bookmarkStart w:id="17" w:name="_Toc219281823"/>
      <w:bookmarkStart w:id="18" w:name="_Toc219281913"/>
      <w:bookmarkStart w:id="19" w:name="_Toc219282020"/>
      <w:r w:rsidRPr="00A37A64">
        <w:rPr>
          <w:rFonts w:ascii="Times New Roman" w:eastAsia="Times New Roman" w:hAnsi="Times New Roman" w:cs="Times New Roman"/>
          <w:sz w:val="24"/>
          <w:szCs w:val="24"/>
        </w:rPr>
        <w:t xml:space="preserve">Table </w:t>
      </w:r>
      <w:r>
        <w:rPr>
          <w:rFonts w:ascii="Times New Roman" w:eastAsia="Times New Roman" w:hAnsi="Times New Roman" w:cs="Times New Roman"/>
          <w:sz w:val="24"/>
          <w:szCs w:val="24"/>
        </w:rPr>
        <w:t>3.</w:t>
      </w:r>
      <w:r w:rsidRPr="00A37A64">
        <w:rPr>
          <w:rFonts w:ascii="Times New Roman" w:eastAsia="Times New Roman" w:hAnsi="Times New Roman" w:cs="Times New Roman"/>
          <w:sz w:val="24"/>
          <w:szCs w:val="24"/>
        </w:rPr>
        <w:t xml:space="preserve"> Descriptive Statistics</w:t>
      </w:r>
      <w:bookmarkEnd w:id="17"/>
      <w:bookmarkEnd w:id="18"/>
      <w:bookmarkEnd w:id="19"/>
    </w:p>
    <w:tbl>
      <w:tblPr>
        <w:tblStyle w:val="TableGrid"/>
        <w:tblW w:w="9042" w:type="dxa"/>
        <w:jc w:val="right"/>
        <w:tblLook w:val="04A0" w:firstRow="1" w:lastRow="0" w:firstColumn="1" w:lastColumn="0" w:noHBand="0" w:noVBand="1"/>
      </w:tblPr>
      <w:tblGrid>
        <w:gridCol w:w="3592"/>
        <w:gridCol w:w="456"/>
        <w:gridCol w:w="803"/>
        <w:gridCol w:w="1610"/>
        <w:gridCol w:w="1243"/>
        <w:gridCol w:w="1338"/>
      </w:tblGrid>
      <w:tr w:rsidR="00A37A64" w:rsidRPr="00A37A64" w14:paraId="1645AEB1" w14:textId="77777777" w:rsidTr="00A37A64">
        <w:trPr>
          <w:jc w:val="right"/>
        </w:trPr>
        <w:tc>
          <w:tcPr>
            <w:tcW w:w="3592" w:type="dxa"/>
            <w:vAlign w:val="center"/>
          </w:tcPr>
          <w:bookmarkEnd w:id="16"/>
          <w:p w14:paraId="74F8104B" w14:textId="77777777" w:rsidR="00A37A64" w:rsidRPr="00A37A64" w:rsidRDefault="00A37A64" w:rsidP="00A37A64">
            <w:pPr>
              <w:spacing w:before="120" w:after="120"/>
              <w:contextualSpacing/>
              <w:jc w:val="center"/>
              <w:rPr>
                <w:rFonts w:eastAsia="Times New Roman"/>
                <w:b/>
                <w:bCs/>
                <w:sz w:val="24"/>
                <w:szCs w:val="24"/>
                <w:lang w:eastAsia="en-US"/>
              </w:rPr>
            </w:pPr>
            <w:r w:rsidRPr="00A37A64">
              <w:rPr>
                <w:rFonts w:eastAsia="Times New Roman"/>
                <w:b/>
                <w:bCs/>
                <w:sz w:val="24"/>
                <w:szCs w:val="24"/>
                <w:lang w:eastAsia="en-US"/>
              </w:rPr>
              <w:t>Variabel</w:t>
            </w:r>
          </w:p>
        </w:tc>
        <w:tc>
          <w:tcPr>
            <w:tcW w:w="0" w:type="auto"/>
            <w:vAlign w:val="center"/>
          </w:tcPr>
          <w:p w14:paraId="6B95F804" w14:textId="77777777" w:rsidR="00A37A64" w:rsidRPr="00A37A64" w:rsidRDefault="00A37A64" w:rsidP="00A37A64">
            <w:pPr>
              <w:spacing w:before="120" w:after="120"/>
              <w:contextualSpacing/>
              <w:jc w:val="center"/>
              <w:rPr>
                <w:rFonts w:eastAsia="Times New Roman"/>
                <w:b/>
                <w:bCs/>
                <w:sz w:val="24"/>
                <w:szCs w:val="24"/>
                <w:lang w:eastAsia="en-US"/>
              </w:rPr>
            </w:pPr>
            <w:r w:rsidRPr="00A37A64">
              <w:rPr>
                <w:rFonts w:eastAsia="Times New Roman"/>
                <w:b/>
                <w:bCs/>
                <w:sz w:val="24"/>
                <w:szCs w:val="24"/>
                <w:lang w:eastAsia="en-US"/>
              </w:rPr>
              <w:t>N</w:t>
            </w:r>
          </w:p>
        </w:tc>
        <w:tc>
          <w:tcPr>
            <w:tcW w:w="0" w:type="auto"/>
            <w:vAlign w:val="center"/>
          </w:tcPr>
          <w:p w14:paraId="7358AB82" w14:textId="77777777" w:rsidR="00A37A64" w:rsidRPr="00A37A64" w:rsidRDefault="00A37A64" w:rsidP="00A37A64">
            <w:pPr>
              <w:spacing w:before="120" w:after="120"/>
              <w:contextualSpacing/>
              <w:jc w:val="center"/>
              <w:rPr>
                <w:rFonts w:eastAsia="Times New Roman"/>
                <w:b/>
                <w:bCs/>
                <w:sz w:val="24"/>
                <w:szCs w:val="24"/>
                <w:lang w:eastAsia="en-US"/>
              </w:rPr>
            </w:pPr>
            <w:r w:rsidRPr="00A37A64">
              <w:rPr>
                <w:rFonts w:eastAsia="Times New Roman"/>
                <w:b/>
                <w:bCs/>
                <w:sz w:val="24"/>
                <w:szCs w:val="24"/>
                <w:lang w:eastAsia="en-US"/>
              </w:rPr>
              <w:t>Mean</w:t>
            </w:r>
          </w:p>
        </w:tc>
        <w:tc>
          <w:tcPr>
            <w:tcW w:w="0" w:type="auto"/>
            <w:vAlign w:val="center"/>
          </w:tcPr>
          <w:p w14:paraId="2BB89662" w14:textId="77777777" w:rsidR="00A37A64" w:rsidRPr="00A37A64" w:rsidRDefault="00A37A64" w:rsidP="00A37A64">
            <w:pPr>
              <w:spacing w:before="120" w:after="120"/>
              <w:contextualSpacing/>
              <w:jc w:val="center"/>
              <w:rPr>
                <w:rFonts w:eastAsia="Times New Roman"/>
                <w:b/>
                <w:bCs/>
                <w:sz w:val="24"/>
                <w:szCs w:val="24"/>
                <w:lang w:eastAsia="en-US"/>
              </w:rPr>
            </w:pPr>
            <w:r w:rsidRPr="00A37A64">
              <w:rPr>
                <w:rFonts w:eastAsia="Times New Roman"/>
                <w:b/>
                <w:bCs/>
                <w:sz w:val="24"/>
                <w:szCs w:val="24"/>
                <w:lang w:eastAsia="en-US"/>
              </w:rPr>
              <w:t>Std.Deviation</w:t>
            </w:r>
          </w:p>
        </w:tc>
        <w:tc>
          <w:tcPr>
            <w:tcW w:w="0" w:type="auto"/>
            <w:vAlign w:val="center"/>
          </w:tcPr>
          <w:p w14:paraId="636E06B1" w14:textId="77777777" w:rsidR="00A37A64" w:rsidRPr="00A37A64" w:rsidRDefault="00A37A64" w:rsidP="00A37A64">
            <w:pPr>
              <w:spacing w:before="120" w:after="120"/>
              <w:contextualSpacing/>
              <w:jc w:val="center"/>
              <w:rPr>
                <w:rFonts w:eastAsia="Times New Roman"/>
                <w:b/>
                <w:bCs/>
                <w:sz w:val="24"/>
                <w:szCs w:val="24"/>
                <w:lang w:eastAsia="en-US"/>
              </w:rPr>
            </w:pPr>
            <w:r w:rsidRPr="00A37A64">
              <w:rPr>
                <w:rFonts w:eastAsia="Times New Roman"/>
                <w:b/>
                <w:bCs/>
                <w:sz w:val="24"/>
                <w:szCs w:val="24"/>
                <w:lang w:eastAsia="en-US"/>
              </w:rPr>
              <w:t>Minimum</w:t>
            </w:r>
          </w:p>
        </w:tc>
        <w:tc>
          <w:tcPr>
            <w:tcW w:w="1338" w:type="dxa"/>
            <w:vAlign w:val="center"/>
          </w:tcPr>
          <w:p w14:paraId="0F038D05" w14:textId="77777777" w:rsidR="00A37A64" w:rsidRPr="00A37A64" w:rsidRDefault="00A37A64" w:rsidP="00A37A64">
            <w:pPr>
              <w:spacing w:before="120" w:after="120"/>
              <w:contextualSpacing/>
              <w:jc w:val="center"/>
              <w:rPr>
                <w:rFonts w:eastAsia="Times New Roman"/>
                <w:b/>
                <w:bCs/>
                <w:sz w:val="24"/>
                <w:szCs w:val="24"/>
                <w:lang w:eastAsia="en-US"/>
              </w:rPr>
            </w:pPr>
            <w:r w:rsidRPr="00A37A64">
              <w:rPr>
                <w:rFonts w:eastAsia="Times New Roman"/>
                <w:b/>
                <w:bCs/>
                <w:sz w:val="24"/>
                <w:szCs w:val="24"/>
                <w:lang w:eastAsia="en-US"/>
              </w:rPr>
              <w:t>Maximum</w:t>
            </w:r>
          </w:p>
        </w:tc>
      </w:tr>
      <w:tr w:rsidR="00A37A64" w:rsidRPr="00A37A64" w14:paraId="38481219" w14:textId="77777777" w:rsidTr="00A37A64">
        <w:trPr>
          <w:jc w:val="right"/>
        </w:trPr>
        <w:tc>
          <w:tcPr>
            <w:tcW w:w="3592" w:type="dxa"/>
            <w:vAlign w:val="center"/>
          </w:tcPr>
          <w:p w14:paraId="0A4B86C8" w14:textId="77777777" w:rsidR="00A37A64" w:rsidRPr="00A37A64" w:rsidRDefault="00A37A64" w:rsidP="00A37A64">
            <w:pPr>
              <w:spacing w:before="120" w:after="120"/>
              <w:contextualSpacing/>
              <w:jc w:val="center"/>
              <w:rPr>
                <w:rFonts w:eastAsia="Times New Roman"/>
                <w:sz w:val="24"/>
                <w:szCs w:val="24"/>
                <w:lang w:eastAsia="en-US"/>
              </w:rPr>
            </w:pPr>
            <w:r w:rsidRPr="00A37A64">
              <w:rPr>
                <w:rFonts w:eastAsia="Times New Roman"/>
                <w:sz w:val="24"/>
                <w:szCs w:val="24"/>
                <w:lang w:eastAsia="en-US"/>
              </w:rPr>
              <w:t>Nilai Posttest</w:t>
            </w:r>
          </w:p>
        </w:tc>
        <w:tc>
          <w:tcPr>
            <w:tcW w:w="0" w:type="auto"/>
            <w:vAlign w:val="center"/>
          </w:tcPr>
          <w:p w14:paraId="0E7E6F44" w14:textId="77777777" w:rsidR="00A37A64" w:rsidRPr="00A37A64" w:rsidRDefault="00A37A64" w:rsidP="00A37A64">
            <w:pPr>
              <w:spacing w:before="120" w:after="120"/>
              <w:contextualSpacing/>
              <w:jc w:val="center"/>
              <w:rPr>
                <w:rFonts w:eastAsia="Times New Roman"/>
                <w:sz w:val="24"/>
                <w:szCs w:val="24"/>
                <w:lang w:eastAsia="en-US"/>
              </w:rPr>
            </w:pPr>
            <w:r w:rsidRPr="00A37A64">
              <w:rPr>
                <w:rFonts w:eastAsia="Times New Roman"/>
                <w:sz w:val="24"/>
                <w:szCs w:val="24"/>
                <w:lang w:eastAsia="en-US"/>
              </w:rPr>
              <w:t>65</w:t>
            </w:r>
          </w:p>
        </w:tc>
        <w:tc>
          <w:tcPr>
            <w:tcW w:w="0" w:type="auto"/>
            <w:vAlign w:val="center"/>
          </w:tcPr>
          <w:p w14:paraId="237F378E" w14:textId="77777777" w:rsidR="00A37A64" w:rsidRPr="00A37A64" w:rsidRDefault="00A37A64" w:rsidP="00A37A64">
            <w:pPr>
              <w:spacing w:before="120" w:after="120"/>
              <w:contextualSpacing/>
              <w:jc w:val="center"/>
              <w:rPr>
                <w:rFonts w:eastAsia="Times New Roman"/>
                <w:sz w:val="24"/>
                <w:szCs w:val="24"/>
                <w:lang w:eastAsia="en-US"/>
              </w:rPr>
            </w:pPr>
            <w:r w:rsidRPr="00A37A64">
              <w:rPr>
                <w:rFonts w:eastAsia="Times New Roman"/>
                <w:sz w:val="24"/>
                <w:szCs w:val="24"/>
                <w:lang w:eastAsia="en-US"/>
              </w:rPr>
              <w:t>83,85</w:t>
            </w:r>
          </w:p>
        </w:tc>
        <w:tc>
          <w:tcPr>
            <w:tcW w:w="0" w:type="auto"/>
            <w:vAlign w:val="center"/>
          </w:tcPr>
          <w:p w14:paraId="628310BC" w14:textId="77777777" w:rsidR="00A37A64" w:rsidRPr="00A37A64" w:rsidRDefault="00A37A64" w:rsidP="00A37A64">
            <w:pPr>
              <w:spacing w:before="120" w:after="120"/>
              <w:contextualSpacing/>
              <w:jc w:val="center"/>
              <w:rPr>
                <w:rFonts w:eastAsia="Times New Roman"/>
                <w:sz w:val="24"/>
                <w:szCs w:val="24"/>
                <w:lang w:eastAsia="en-US"/>
              </w:rPr>
            </w:pPr>
            <w:r w:rsidRPr="00A37A64">
              <w:rPr>
                <w:rFonts w:eastAsia="Times New Roman"/>
                <w:sz w:val="24"/>
                <w:szCs w:val="24"/>
                <w:lang w:eastAsia="en-US"/>
              </w:rPr>
              <w:t>9,952</w:t>
            </w:r>
          </w:p>
        </w:tc>
        <w:tc>
          <w:tcPr>
            <w:tcW w:w="0" w:type="auto"/>
            <w:vAlign w:val="center"/>
          </w:tcPr>
          <w:p w14:paraId="5925E771" w14:textId="77777777" w:rsidR="00A37A64" w:rsidRPr="00A37A64" w:rsidRDefault="00A37A64" w:rsidP="00A37A64">
            <w:pPr>
              <w:spacing w:before="120" w:after="120"/>
              <w:contextualSpacing/>
              <w:jc w:val="center"/>
              <w:rPr>
                <w:rFonts w:eastAsia="Times New Roman"/>
                <w:sz w:val="24"/>
                <w:szCs w:val="24"/>
                <w:lang w:eastAsia="en-US"/>
              </w:rPr>
            </w:pPr>
            <w:r w:rsidRPr="00A37A64">
              <w:rPr>
                <w:rFonts w:eastAsia="Times New Roman"/>
                <w:sz w:val="24"/>
                <w:szCs w:val="24"/>
                <w:lang w:eastAsia="en-US"/>
              </w:rPr>
              <w:t>50</w:t>
            </w:r>
          </w:p>
        </w:tc>
        <w:tc>
          <w:tcPr>
            <w:tcW w:w="1338" w:type="dxa"/>
            <w:vAlign w:val="center"/>
          </w:tcPr>
          <w:p w14:paraId="1E2CD084" w14:textId="77777777" w:rsidR="00A37A64" w:rsidRPr="00A37A64" w:rsidRDefault="00A37A64" w:rsidP="00A37A64">
            <w:pPr>
              <w:spacing w:before="120" w:after="120"/>
              <w:contextualSpacing/>
              <w:jc w:val="center"/>
              <w:rPr>
                <w:rFonts w:eastAsia="Times New Roman"/>
                <w:sz w:val="24"/>
                <w:szCs w:val="24"/>
                <w:lang w:eastAsia="en-US"/>
              </w:rPr>
            </w:pPr>
            <w:r w:rsidRPr="00A37A64">
              <w:rPr>
                <w:rFonts w:eastAsia="Times New Roman"/>
                <w:sz w:val="24"/>
                <w:szCs w:val="24"/>
                <w:lang w:eastAsia="en-US"/>
              </w:rPr>
              <w:t>100</w:t>
            </w:r>
          </w:p>
        </w:tc>
      </w:tr>
      <w:tr w:rsidR="00A37A64" w:rsidRPr="00A37A64" w14:paraId="20D32D96" w14:textId="77777777" w:rsidTr="00A37A64">
        <w:trPr>
          <w:jc w:val="right"/>
        </w:trPr>
        <w:tc>
          <w:tcPr>
            <w:tcW w:w="3592" w:type="dxa"/>
            <w:vAlign w:val="center"/>
          </w:tcPr>
          <w:p w14:paraId="3FEB2120" w14:textId="77777777" w:rsidR="00A37A64" w:rsidRPr="00A37A64" w:rsidRDefault="00A37A64" w:rsidP="00A37A64">
            <w:pPr>
              <w:spacing w:before="120" w:after="120"/>
              <w:contextualSpacing/>
              <w:jc w:val="center"/>
              <w:rPr>
                <w:rFonts w:eastAsia="Times New Roman"/>
                <w:sz w:val="24"/>
                <w:szCs w:val="24"/>
                <w:lang w:eastAsia="en-US"/>
              </w:rPr>
            </w:pPr>
            <w:r w:rsidRPr="00A37A64">
              <w:rPr>
                <w:rFonts w:eastAsia="Times New Roman"/>
                <w:sz w:val="24"/>
                <w:szCs w:val="24"/>
                <w:lang w:eastAsia="en-US"/>
              </w:rPr>
              <w:t>Groups</w:t>
            </w:r>
          </w:p>
        </w:tc>
        <w:tc>
          <w:tcPr>
            <w:tcW w:w="0" w:type="auto"/>
            <w:vAlign w:val="center"/>
          </w:tcPr>
          <w:p w14:paraId="3A628C83" w14:textId="77777777" w:rsidR="00A37A64" w:rsidRPr="00A37A64" w:rsidRDefault="00A37A64" w:rsidP="00A37A64">
            <w:pPr>
              <w:spacing w:before="120" w:after="120"/>
              <w:contextualSpacing/>
              <w:jc w:val="center"/>
              <w:rPr>
                <w:rFonts w:eastAsia="Times New Roman"/>
                <w:sz w:val="24"/>
                <w:szCs w:val="24"/>
                <w:lang w:eastAsia="en-US"/>
              </w:rPr>
            </w:pPr>
            <w:r w:rsidRPr="00A37A64">
              <w:rPr>
                <w:rFonts w:eastAsia="Times New Roman"/>
                <w:sz w:val="24"/>
                <w:szCs w:val="24"/>
                <w:lang w:eastAsia="en-US"/>
              </w:rPr>
              <w:t>65</w:t>
            </w:r>
          </w:p>
        </w:tc>
        <w:tc>
          <w:tcPr>
            <w:tcW w:w="0" w:type="auto"/>
            <w:vAlign w:val="center"/>
          </w:tcPr>
          <w:p w14:paraId="71B546CB" w14:textId="77777777" w:rsidR="00A37A64" w:rsidRPr="00A37A64" w:rsidRDefault="00A37A64" w:rsidP="00A37A64">
            <w:pPr>
              <w:spacing w:before="120" w:after="120"/>
              <w:contextualSpacing/>
              <w:jc w:val="center"/>
              <w:rPr>
                <w:rFonts w:eastAsia="Times New Roman"/>
                <w:sz w:val="24"/>
                <w:szCs w:val="24"/>
                <w:lang w:eastAsia="en-US"/>
              </w:rPr>
            </w:pPr>
            <w:r w:rsidRPr="00A37A64">
              <w:rPr>
                <w:rFonts w:eastAsia="Times New Roman"/>
                <w:sz w:val="24"/>
                <w:szCs w:val="24"/>
                <w:lang w:eastAsia="en-US"/>
              </w:rPr>
              <w:t>1,98</w:t>
            </w:r>
          </w:p>
        </w:tc>
        <w:tc>
          <w:tcPr>
            <w:tcW w:w="0" w:type="auto"/>
            <w:vAlign w:val="center"/>
          </w:tcPr>
          <w:p w14:paraId="5269C558" w14:textId="77777777" w:rsidR="00A37A64" w:rsidRPr="00A37A64" w:rsidRDefault="00A37A64" w:rsidP="00A37A64">
            <w:pPr>
              <w:spacing w:before="120" w:after="120"/>
              <w:contextualSpacing/>
              <w:jc w:val="center"/>
              <w:rPr>
                <w:rFonts w:eastAsia="Times New Roman"/>
                <w:sz w:val="24"/>
                <w:szCs w:val="24"/>
                <w:lang w:eastAsia="en-US"/>
              </w:rPr>
            </w:pPr>
            <w:r w:rsidRPr="00A37A64">
              <w:rPr>
                <w:rFonts w:eastAsia="Times New Roman"/>
                <w:sz w:val="24"/>
                <w:szCs w:val="24"/>
                <w:lang w:eastAsia="en-US"/>
              </w:rPr>
              <w:t>0,820</w:t>
            </w:r>
          </w:p>
        </w:tc>
        <w:tc>
          <w:tcPr>
            <w:tcW w:w="0" w:type="auto"/>
            <w:vAlign w:val="center"/>
          </w:tcPr>
          <w:p w14:paraId="3EC49484" w14:textId="77777777" w:rsidR="00A37A64" w:rsidRPr="00A37A64" w:rsidRDefault="00A37A64" w:rsidP="00A37A64">
            <w:pPr>
              <w:spacing w:before="120" w:after="120"/>
              <w:contextualSpacing/>
              <w:jc w:val="center"/>
              <w:rPr>
                <w:rFonts w:eastAsia="Times New Roman"/>
                <w:sz w:val="24"/>
                <w:szCs w:val="24"/>
                <w:lang w:eastAsia="en-US"/>
              </w:rPr>
            </w:pPr>
            <w:r w:rsidRPr="00A37A64">
              <w:rPr>
                <w:rFonts w:eastAsia="Times New Roman"/>
                <w:sz w:val="24"/>
                <w:szCs w:val="24"/>
                <w:lang w:eastAsia="en-US"/>
              </w:rPr>
              <w:t>1</w:t>
            </w:r>
          </w:p>
        </w:tc>
        <w:tc>
          <w:tcPr>
            <w:tcW w:w="1338" w:type="dxa"/>
            <w:vAlign w:val="center"/>
          </w:tcPr>
          <w:p w14:paraId="168253BD" w14:textId="77777777" w:rsidR="00A37A64" w:rsidRPr="00A37A64" w:rsidRDefault="00A37A64" w:rsidP="00A37A64">
            <w:pPr>
              <w:spacing w:before="120" w:after="120"/>
              <w:contextualSpacing/>
              <w:jc w:val="center"/>
              <w:rPr>
                <w:rFonts w:eastAsia="Times New Roman"/>
                <w:sz w:val="24"/>
                <w:szCs w:val="24"/>
                <w:lang w:eastAsia="en-US"/>
              </w:rPr>
            </w:pPr>
            <w:r w:rsidRPr="00A37A64">
              <w:rPr>
                <w:rFonts w:eastAsia="Times New Roman"/>
                <w:sz w:val="24"/>
                <w:szCs w:val="24"/>
                <w:lang w:eastAsia="en-US"/>
              </w:rPr>
              <w:t>3</w:t>
            </w:r>
          </w:p>
        </w:tc>
      </w:tr>
    </w:tbl>
    <w:p w14:paraId="75B94FB2" w14:textId="69C0AF7D" w:rsidR="00A37A64" w:rsidRPr="00A37A64" w:rsidRDefault="00A37A64" w:rsidP="00A37A64">
      <w:pPr>
        <w:spacing w:before="120" w:after="120" w:line="240" w:lineRule="auto"/>
        <w:jc w:val="both"/>
        <w:rPr>
          <w:rFonts w:ascii="Times New Roman" w:eastAsia="Times New Roman" w:hAnsi="Times New Roman" w:cs="Times New Roman"/>
          <w:sz w:val="24"/>
          <w:szCs w:val="24"/>
        </w:rPr>
      </w:pPr>
      <w:r w:rsidRPr="00A37A64">
        <w:rPr>
          <w:rFonts w:ascii="Times New Roman" w:eastAsia="Times New Roman" w:hAnsi="Times New Roman" w:cs="Times New Roman"/>
          <w:sz w:val="24"/>
          <w:szCs w:val="24"/>
        </w:rPr>
        <w:t xml:space="preserve">Table 3 shows that the total sample involved in this study was 65 respondents spread across three research groups. The overall mean score for the posttest  score was 83.85 with a standard deviation of 9.952, indicating a variation in the distribution of data around the mean score. In addition, the data shows a fairly wide range of scores with a minimum score of 50 and a maximum score of 100. This descriptive data provides an initial foundation that there is a diversity of student achievement before it is further tested using the kruskal wallis  test to determine the significance of differences between these groups. As the initial stage  of the Kruskal Wallis test, the average score is calculated for each group so that it can compare the scores between the learning models, as seen in the following table </w:t>
      </w:r>
      <w:bookmarkStart w:id="20" w:name="_Hlk219273932"/>
      <w:r w:rsidR="00065A0C">
        <w:rPr>
          <w:rFonts w:ascii="Times New Roman" w:eastAsia="Times New Roman" w:hAnsi="Times New Roman" w:cs="Times New Roman"/>
          <w:sz w:val="24"/>
          <w:szCs w:val="24"/>
        </w:rPr>
        <w:t>4.</w:t>
      </w:r>
    </w:p>
    <w:p w14:paraId="61335680" w14:textId="26C228C8" w:rsidR="00A37A64" w:rsidRPr="00A37A64" w:rsidRDefault="00A37A64" w:rsidP="00A37A64">
      <w:pPr>
        <w:spacing w:before="120" w:after="120" w:line="240" w:lineRule="auto"/>
        <w:jc w:val="center"/>
        <w:rPr>
          <w:rFonts w:ascii="Times New Roman" w:eastAsia="Times New Roman" w:hAnsi="Times New Roman" w:cs="Times New Roman"/>
          <w:sz w:val="24"/>
          <w:szCs w:val="24"/>
        </w:rPr>
      </w:pPr>
      <w:bookmarkStart w:id="21" w:name="_Toc219281824"/>
      <w:bookmarkStart w:id="22" w:name="_Toc219281914"/>
      <w:bookmarkStart w:id="23" w:name="_Toc219282021"/>
      <w:r w:rsidRPr="00A37A64">
        <w:rPr>
          <w:rFonts w:ascii="Times New Roman" w:eastAsia="Times New Roman" w:hAnsi="Times New Roman" w:cs="Times New Roman"/>
          <w:sz w:val="24"/>
          <w:szCs w:val="24"/>
        </w:rPr>
        <w:t xml:space="preserve">Table </w:t>
      </w:r>
      <w:r w:rsidRPr="00A37A64">
        <w:rPr>
          <w:rFonts w:ascii="Times New Roman" w:eastAsia="Times New Roman" w:hAnsi="Times New Roman" w:cs="Times New Roman"/>
          <w:sz w:val="24"/>
          <w:szCs w:val="24"/>
        </w:rPr>
        <w:fldChar w:fldCharType="begin"/>
      </w:r>
      <w:r w:rsidRPr="00A37A64">
        <w:rPr>
          <w:rFonts w:ascii="Times New Roman" w:eastAsia="Times New Roman" w:hAnsi="Times New Roman" w:cs="Times New Roman"/>
          <w:sz w:val="24"/>
          <w:szCs w:val="24"/>
        </w:rPr>
        <w:instrText xml:space="preserve"> SEQ Tabel_4. \* ARABIC </w:instrText>
      </w:r>
      <w:r w:rsidRPr="00A37A64">
        <w:rPr>
          <w:rFonts w:ascii="Times New Roman" w:eastAsia="Times New Roman" w:hAnsi="Times New Roman" w:cs="Times New Roman"/>
          <w:sz w:val="24"/>
          <w:szCs w:val="24"/>
        </w:rPr>
        <w:fldChar w:fldCharType="separate"/>
      </w:r>
      <w:r w:rsidR="000C681A">
        <w:rPr>
          <w:rFonts w:ascii="Times New Roman" w:eastAsia="Times New Roman" w:hAnsi="Times New Roman" w:cs="Times New Roman"/>
          <w:noProof/>
          <w:sz w:val="24"/>
          <w:szCs w:val="24"/>
        </w:rPr>
        <w:t>1</w:t>
      </w:r>
      <w:r w:rsidRPr="00A37A64">
        <w:rPr>
          <w:rFonts w:ascii="Times New Roman" w:eastAsia="Times New Roman" w:hAnsi="Times New Roman" w:cs="Times New Roman"/>
          <w:sz w:val="24"/>
          <w:szCs w:val="24"/>
          <w:lang w:val="id-ID"/>
        </w:rPr>
        <w:fldChar w:fldCharType="end"/>
      </w:r>
      <w:r>
        <w:rPr>
          <w:rFonts w:ascii="Times New Roman" w:eastAsia="Times New Roman" w:hAnsi="Times New Roman" w:cs="Times New Roman"/>
          <w:sz w:val="24"/>
          <w:szCs w:val="24"/>
          <w:lang w:val="id-ID"/>
        </w:rPr>
        <w:t>.</w:t>
      </w:r>
      <w:r w:rsidRPr="00A37A64">
        <w:rPr>
          <w:rFonts w:ascii="Times New Roman" w:eastAsia="Times New Roman" w:hAnsi="Times New Roman" w:cs="Times New Roman"/>
          <w:sz w:val="24"/>
          <w:szCs w:val="24"/>
        </w:rPr>
        <w:t xml:space="preserve"> Average Posttest Score Rating</w:t>
      </w:r>
      <w:bookmarkEnd w:id="20"/>
      <w:bookmarkEnd w:id="21"/>
      <w:bookmarkEnd w:id="22"/>
      <w:bookmarkEnd w:id="23"/>
    </w:p>
    <w:tbl>
      <w:tblPr>
        <w:tblStyle w:val="TableGrid"/>
        <w:tblW w:w="0" w:type="auto"/>
        <w:tblLook w:val="04A0" w:firstRow="1" w:lastRow="0" w:firstColumn="1" w:lastColumn="0" w:noHBand="0" w:noVBand="1"/>
      </w:tblPr>
      <w:tblGrid>
        <w:gridCol w:w="2552"/>
        <w:gridCol w:w="1701"/>
        <w:gridCol w:w="4742"/>
      </w:tblGrid>
      <w:tr w:rsidR="00A37A64" w:rsidRPr="00A37A64" w14:paraId="2BA75C39" w14:textId="77777777" w:rsidTr="00A37A64">
        <w:tc>
          <w:tcPr>
            <w:tcW w:w="2552" w:type="dxa"/>
            <w:vAlign w:val="center"/>
          </w:tcPr>
          <w:p w14:paraId="098A49A4" w14:textId="77777777" w:rsidR="00A37A64" w:rsidRPr="00A37A64" w:rsidRDefault="00A37A64" w:rsidP="00A37A64">
            <w:pPr>
              <w:spacing w:before="120" w:after="120"/>
              <w:contextualSpacing/>
              <w:jc w:val="center"/>
              <w:rPr>
                <w:rFonts w:eastAsia="Times New Roman"/>
                <w:b/>
                <w:bCs/>
                <w:sz w:val="24"/>
                <w:szCs w:val="24"/>
                <w:lang w:eastAsia="en-US"/>
              </w:rPr>
            </w:pPr>
            <w:r w:rsidRPr="00A37A64">
              <w:rPr>
                <w:rFonts w:eastAsia="Times New Roman"/>
                <w:b/>
                <w:bCs/>
                <w:sz w:val="24"/>
                <w:szCs w:val="24"/>
                <w:lang w:eastAsia="en-US"/>
              </w:rPr>
              <w:t>Groups</w:t>
            </w:r>
          </w:p>
        </w:tc>
        <w:tc>
          <w:tcPr>
            <w:tcW w:w="1701" w:type="dxa"/>
            <w:vAlign w:val="center"/>
          </w:tcPr>
          <w:p w14:paraId="1937C397" w14:textId="77777777" w:rsidR="00A37A64" w:rsidRPr="00A37A64" w:rsidRDefault="00A37A64" w:rsidP="00A37A64">
            <w:pPr>
              <w:spacing w:before="120" w:after="120"/>
              <w:contextualSpacing/>
              <w:jc w:val="center"/>
              <w:rPr>
                <w:rFonts w:eastAsia="Times New Roman"/>
                <w:b/>
                <w:bCs/>
                <w:sz w:val="24"/>
                <w:szCs w:val="24"/>
                <w:lang w:eastAsia="en-US"/>
              </w:rPr>
            </w:pPr>
            <w:r w:rsidRPr="00A37A64">
              <w:rPr>
                <w:rFonts w:eastAsia="Times New Roman"/>
                <w:b/>
                <w:bCs/>
                <w:sz w:val="24"/>
                <w:szCs w:val="24"/>
                <w:lang w:eastAsia="en-US"/>
              </w:rPr>
              <w:t>N</w:t>
            </w:r>
          </w:p>
        </w:tc>
        <w:tc>
          <w:tcPr>
            <w:tcW w:w="4742" w:type="dxa"/>
            <w:vAlign w:val="center"/>
          </w:tcPr>
          <w:p w14:paraId="0B573560" w14:textId="77777777" w:rsidR="00A37A64" w:rsidRPr="00A37A64" w:rsidRDefault="00A37A64" w:rsidP="00A37A64">
            <w:pPr>
              <w:spacing w:before="120" w:after="120"/>
              <w:contextualSpacing/>
              <w:jc w:val="center"/>
              <w:rPr>
                <w:rFonts w:eastAsia="Times New Roman"/>
                <w:b/>
                <w:bCs/>
                <w:sz w:val="24"/>
                <w:szCs w:val="24"/>
                <w:lang w:eastAsia="en-US"/>
              </w:rPr>
            </w:pPr>
            <w:r w:rsidRPr="00A37A64">
              <w:rPr>
                <w:rFonts w:eastAsia="Times New Roman"/>
                <w:b/>
                <w:bCs/>
                <w:sz w:val="24"/>
                <w:szCs w:val="24"/>
                <w:lang w:eastAsia="en-US"/>
              </w:rPr>
              <w:t>Mean Rank</w:t>
            </w:r>
          </w:p>
        </w:tc>
      </w:tr>
      <w:tr w:rsidR="00A37A64" w:rsidRPr="00A37A64" w14:paraId="4F2E8429" w14:textId="77777777" w:rsidTr="00A37A64">
        <w:tc>
          <w:tcPr>
            <w:tcW w:w="2552" w:type="dxa"/>
            <w:vAlign w:val="center"/>
          </w:tcPr>
          <w:p w14:paraId="4E89C0F6" w14:textId="77777777" w:rsidR="00A37A64" w:rsidRPr="00A37A64" w:rsidRDefault="00A37A64" w:rsidP="00A37A64">
            <w:pPr>
              <w:spacing w:before="120" w:after="120"/>
              <w:contextualSpacing/>
              <w:jc w:val="center"/>
              <w:rPr>
                <w:rFonts w:eastAsia="Times New Roman"/>
                <w:sz w:val="24"/>
                <w:szCs w:val="24"/>
                <w:lang w:eastAsia="en-US"/>
              </w:rPr>
            </w:pPr>
            <w:r w:rsidRPr="00A37A64">
              <w:rPr>
                <w:rFonts w:eastAsia="Times New Roman"/>
                <w:sz w:val="24"/>
                <w:szCs w:val="24"/>
                <w:lang w:eastAsia="en-US"/>
              </w:rPr>
              <w:t>PBL and TPACK</w:t>
            </w:r>
          </w:p>
        </w:tc>
        <w:tc>
          <w:tcPr>
            <w:tcW w:w="1701" w:type="dxa"/>
            <w:vAlign w:val="center"/>
          </w:tcPr>
          <w:p w14:paraId="15BC776F" w14:textId="77777777" w:rsidR="00A37A64" w:rsidRPr="00A37A64" w:rsidRDefault="00A37A64" w:rsidP="00A37A64">
            <w:pPr>
              <w:spacing w:before="120" w:after="120"/>
              <w:contextualSpacing/>
              <w:jc w:val="center"/>
              <w:rPr>
                <w:rFonts w:eastAsia="Times New Roman"/>
                <w:sz w:val="24"/>
                <w:szCs w:val="24"/>
                <w:lang w:eastAsia="en-US"/>
              </w:rPr>
            </w:pPr>
            <w:r w:rsidRPr="00A37A64">
              <w:rPr>
                <w:rFonts w:eastAsia="Times New Roman"/>
                <w:sz w:val="24"/>
                <w:szCs w:val="24"/>
                <w:lang w:eastAsia="en-US"/>
              </w:rPr>
              <w:t>22</w:t>
            </w:r>
          </w:p>
        </w:tc>
        <w:tc>
          <w:tcPr>
            <w:tcW w:w="4742" w:type="dxa"/>
            <w:vAlign w:val="center"/>
          </w:tcPr>
          <w:p w14:paraId="7A3E9D89" w14:textId="77777777" w:rsidR="00A37A64" w:rsidRPr="00A37A64" w:rsidRDefault="00A37A64" w:rsidP="00A37A64">
            <w:pPr>
              <w:spacing w:before="120" w:after="120"/>
              <w:contextualSpacing/>
              <w:jc w:val="center"/>
              <w:rPr>
                <w:rFonts w:eastAsia="Times New Roman"/>
                <w:sz w:val="24"/>
                <w:szCs w:val="24"/>
                <w:lang w:eastAsia="en-US"/>
              </w:rPr>
            </w:pPr>
            <w:r w:rsidRPr="00A37A64">
              <w:rPr>
                <w:rFonts w:eastAsia="Times New Roman"/>
                <w:sz w:val="24"/>
                <w:szCs w:val="24"/>
                <w:lang w:eastAsia="en-US"/>
              </w:rPr>
              <w:t>45,82</w:t>
            </w:r>
          </w:p>
        </w:tc>
      </w:tr>
      <w:tr w:rsidR="00A37A64" w:rsidRPr="00A37A64" w14:paraId="07DCFCE3" w14:textId="77777777" w:rsidTr="00A37A64">
        <w:tc>
          <w:tcPr>
            <w:tcW w:w="2552" w:type="dxa"/>
            <w:vAlign w:val="center"/>
          </w:tcPr>
          <w:p w14:paraId="4690E83E" w14:textId="77777777" w:rsidR="00A37A64" w:rsidRPr="00A37A64" w:rsidRDefault="00A37A64" w:rsidP="00A37A64">
            <w:pPr>
              <w:spacing w:before="120" w:after="120"/>
              <w:contextualSpacing/>
              <w:jc w:val="center"/>
              <w:rPr>
                <w:rFonts w:eastAsia="Times New Roman"/>
                <w:sz w:val="24"/>
                <w:szCs w:val="24"/>
                <w:lang w:eastAsia="en-US"/>
              </w:rPr>
            </w:pPr>
            <w:r w:rsidRPr="00A37A64">
              <w:rPr>
                <w:rFonts w:eastAsia="Times New Roman"/>
                <w:sz w:val="24"/>
                <w:szCs w:val="24"/>
                <w:lang w:eastAsia="en-US"/>
              </w:rPr>
              <w:t>PBL</w:t>
            </w:r>
          </w:p>
        </w:tc>
        <w:tc>
          <w:tcPr>
            <w:tcW w:w="1701" w:type="dxa"/>
            <w:vAlign w:val="center"/>
          </w:tcPr>
          <w:p w14:paraId="402A7A13" w14:textId="77777777" w:rsidR="00A37A64" w:rsidRPr="00A37A64" w:rsidRDefault="00A37A64" w:rsidP="00A37A64">
            <w:pPr>
              <w:spacing w:before="120" w:after="120"/>
              <w:contextualSpacing/>
              <w:jc w:val="center"/>
              <w:rPr>
                <w:rFonts w:eastAsia="Times New Roman"/>
                <w:sz w:val="24"/>
                <w:szCs w:val="24"/>
                <w:lang w:eastAsia="en-US"/>
              </w:rPr>
            </w:pPr>
            <w:r w:rsidRPr="00A37A64">
              <w:rPr>
                <w:rFonts w:eastAsia="Times New Roman"/>
                <w:sz w:val="24"/>
                <w:szCs w:val="24"/>
                <w:lang w:eastAsia="en-US"/>
              </w:rPr>
              <w:t>22</w:t>
            </w:r>
          </w:p>
        </w:tc>
        <w:tc>
          <w:tcPr>
            <w:tcW w:w="4742" w:type="dxa"/>
            <w:vAlign w:val="center"/>
          </w:tcPr>
          <w:p w14:paraId="389A05CB" w14:textId="77777777" w:rsidR="00A37A64" w:rsidRPr="00A37A64" w:rsidRDefault="00A37A64" w:rsidP="00A37A64">
            <w:pPr>
              <w:spacing w:before="120" w:after="120"/>
              <w:contextualSpacing/>
              <w:jc w:val="center"/>
              <w:rPr>
                <w:rFonts w:eastAsia="Times New Roman"/>
                <w:sz w:val="24"/>
                <w:szCs w:val="24"/>
                <w:lang w:eastAsia="en-US"/>
              </w:rPr>
            </w:pPr>
            <w:r w:rsidRPr="00A37A64">
              <w:rPr>
                <w:rFonts w:eastAsia="Times New Roman"/>
                <w:sz w:val="24"/>
                <w:szCs w:val="24"/>
                <w:lang w:eastAsia="en-US"/>
              </w:rPr>
              <w:t>28,41</w:t>
            </w:r>
          </w:p>
        </w:tc>
      </w:tr>
      <w:tr w:rsidR="00A37A64" w:rsidRPr="00A37A64" w14:paraId="4C298998" w14:textId="77777777" w:rsidTr="00A37A64">
        <w:tc>
          <w:tcPr>
            <w:tcW w:w="2552" w:type="dxa"/>
            <w:vAlign w:val="center"/>
          </w:tcPr>
          <w:p w14:paraId="43DE5686" w14:textId="77777777" w:rsidR="00A37A64" w:rsidRPr="00A37A64" w:rsidRDefault="00A37A64" w:rsidP="00A37A64">
            <w:pPr>
              <w:spacing w:before="120" w:after="120"/>
              <w:contextualSpacing/>
              <w:jc w:val="center"/>
              <w:rPr>
                <w:rFonts w:eastAsia="Times New Roman"/>
                <w:sz w:val="24"/>
                <w:szCs w:val="24"/>
                <w:lang w:eastAsia="en-US"/>
              </w:rPr>
            </w:pPr>
            <w:r w:rsidRPr="00A37A64">
              <w:rPr>
                <w:rFonts w:eastAsia="Times New Roman"/>
                <w:sz w:val="24"/>
                <w:szCs w:val="24"/>
                <w:lang w:eastAsia="en-US"/>
              </w:rPr>
              <w:t>Conventional</w:t>
            </w:r>
          </w:p>
        </w:tc>
        <w:tc>
          <w:tcPr>
            <w:tcW w:w="1701" w:type="dxa"/>
            <w:vAlign w:val="center"/>
          </w:tcPr>
          <w:p w14:paraId="43AA2626" w14:textId="77777777" w:rsidR="00A37A64" w:rsidRPr="00A37A64" w:rsidRDefault="00A37A64" w:rsidP="00A37A64">
            <w:pPr>
              <w:spacing w:before="120" w:after="120"/>
              <w:contextualSpacing/>
              <w:jc w:val="center"/>
              <w:rPr>
                <w:rFonts w:eastAsia="Times New Roman"/>
                <w:sz w:val="24"/>
                <w:szCs w:val="24"/>
                <w:lang w:eastAsia="en-US"/>
              </w:rPr>
            </w:pPr>
            <w:r w:rsidRPr="00A37A64">
              <w:rPr>
                <w:rFonts w:eastAsia="Times New Roman"/>
                <w:sz w:val="24"/>
                <w:szCs w:val="24"/>
                <w:lang w:eastAsia="en-US"/>
              </w:rPr>
              <w:t>21</w:t>
            </w:r>
          </w:p>
        </w:tc>
        <w:tc>
          <w:tcPr>
            <w:tcW w:w="4742" w:type="dxa"/>
            <w:vAlign w:val="center"/>
          </w:tcPr>
          <w:p w14:paraId="718666FA" w14:textId="77777777" w:rsidR="00A37A64" w:rsidRPr="00A37A64" w:rsidRDefault="00A37A64" w:rsidP="00A37A64">
            <w:pPr>
              <w:spacing w:before="120" w:after="120"/>
              <w:contextualSpacing/>
              <w:jc w:val="center"/>
              <w:rPr>
                <w:rFonts w:eastAsia="Times New Roman"/>
                <w:sz w:val="24"/>
                <w:szCs w:val="24"/>
                <w:lang w:eastAsia="en-US"/>
              </w:rPr>
            </w:pPr>
            <w:r w:rsidRPr="00A37A64">
              <w:rPr>
                <w:rFonts w:eastAsia="Times New Roman"/>
                <w:sz w:val="24"/>
                <w:szCs w:val="24"/>
                <w:lang w:eastAsia="en-US"/>
              </w:rPr>
              <w:t>24,38</w:t>
            </w:r>
          </w:p>
        </w:tc>
      </w:tr>
      <w:tr w:rsidR="00A37A64" w:rsidRPr="00A37A64" w14:paraId="4AD863EC" w14:textId="77777777" w:rsidTr="00A37A64">
        <w:tc>
          <w:tcPr>
            <w:tcW w:w="2552" w:type="dxa"/>
            <w:vAlign w:val="center"/>
          </w:tcPr>
          <w:p w14:paraId="709060F6" w14:textId="77777777" w:rsidR="00A37A64" w:rsidRPr="00A37A64" w:rsidRDefault="00A37A64" w:rsidP="00A37A64">
            <w:pPr>
              <w:spacing w:before="120" w:after="120"/>
              <w:contextualSpacing/>
              <w:jc w:val="center"/>
              <w:rPr>
                <w:rFonts w:eastAsia="Times New Roman"/>
                <w:sz w:val="24"/>
                <w:szCs w:val="24"/>
                <w:lang w:eastAsia="en-US"/>
              </w:rPr>
            </w:pPr>
            <w:r w:rsidRPr="00A37A64">
              <w:rPr>
                <w:rFonts w:eastAsia="Times New Roman"/>
                <w:sz w:val="24"/>
                <w:szCs w:val="24"/>
                <w:lang w:eastAsia="en-US"/>
              </w:rPr>
              <w:t>Total</w:t>
            </w:r>
          </w:p>
        </w:tc>
        <w:tc>
          <w:tcPr>
            <w:tcW w:w="1701" w:type="dxa"/>
            <w:vAlign w:val="center"/>
          </w:tcPr>
          <w:p w14:paraId="6DE4A7EA" w14:textId="77777777" w:rsidR="00A37A64" w:rsidRPr="00A37A64" w:rsidRDefault="00A37A64" w:rsidP="00A37A64">
            <w:pPr>
              <w:spacing w:before="120" w:after="120"/>
              <w:contextualSpacing/>
              <w:jc w:val="center"/>
              <w:rPr>
                <w:rFonts w:eastAsia="Times New Roman"/>
                <w:sz w:val="24"/>
                <w:szCs w:val="24"/>
                <w:lang w:eastAsia="en-US"/>
              </w:rPr>
            </w:pPr>
            <w:r w:rsidRPr="00A37A64">
              <w:rPr>
                <w:rFonts w:eastAsia="Times New Roman"/>
                <w:sz w:val="24"/>
                <w:szCs w:val="24"/>
                <w:lang w:eastAsia="en-US"/>
              </w:rPr>
              <w:t>65</w:t>
            </w:r>
          </w:p>
        </w:tc>
        <w:tc>
          <w:tcPr>
            <w:tcW w:w="4742" w:type="dxa"/>
            <w:vAlign w:val="center"/>
          </w:tcPr>
          <w:p w14:paraId="780AA13C" w14:textId="77777777" w:rsidR="00A37A64" w:rsidRPr="00A37A64" w:rsidRDefault="00A37A64" w:rsidP="00A37A64">
            <w:pPr>
              <w:spacing w:before="120" w:after="120"/>
              <w:contextualSpacing/>
              <w:jc w:val="center"/>
              <w:rPr>
                <w:rFonts w:eastAsia="Times New Roman"/>
                <w:sz w:val="24"/>
                <w:szCs w:val="24"/>
                <w:lang w:eastAsia="en-US"/>
              </w:rPr>
            </w:pPr>
          </w:p>
        </w:tc>
      </w:tr>
    </w:tbl>
    <w:p w14:paraId="04E7996D" w14:textId="37B01D3A" w:rsidR="00A37A64" w:rsidRDefault="00A37A64" w:rsidP="00A37A64">
      <w:pPr>
        <w:spacing w:before="120" w:after="120" w:line="240" w:lineRule="auto"/>
        <w:jc w:val="both"/>
        <w:rPr>
          <w:rFonts w:ascii="Times New Roman" w:eastAsia="Times New Roman" w:hAnsi="Times New Roman" w:cs="Times New Roman"/>
          <w:sz w:val="24"/>
          <w:szCs w:val="24"/>
        </w:rPr>
      </w:pPr>
      <w:r w:rsidRPr="00A37A64">
        <w:rPr>
          <w:rFonts w:ascii="Times New Roman" w:eastAsia="Times New Roman" w:hAnsi="Times New Roman" w:cs="Times New Roman"/>
          <w:sz w:val="24"/>
          <w:szCs w:val="24"/>
        </w:rPr>
        <w:t>Table</w:t>
      </w:r>
      <w:r>
        <w:rPr>
          <w:rFonts w:ascii="Times New Roman" w:eastAsia="Times New Roman" w:hAnsi="Times New Roman" w:cs="Times New Roman"/>
          <w:sz w:val="24"/>
          <w:szCs w:val="24"/>
        </w:rPr>
        <w:t xml:space="preserve"> </w:t>
      </w:r>
      <w:r w:rsidRPr="00A37A64">
        <w:rPr>
          <w:rFonts w:ascii="Times New Roman" w:eastAsia="Times New Roman" w:hAnsi="Times New Roman" w:cs="Times New Roman"/>
          <w:sz w:val="24"/>
          <w:szCs w:val="24"/>
        </w:rPr>
        <w:t>4 shows a fairly significant difference in average ranking among the three study groups with 65 respondents. The experimental group that applied the PBL and TPACK models showed a striking advantage with  the highest mean rank  value of 45.82 (n=22). This value is far above the PBL control group which has a mean rank of 28.41 (n=22) and the conventional group which has the lowest rank of 24.38 (n=21). The high ranking scores in the PBL and TPACK groups show that descriptively, the TPACK integrated learning model makes a greater contribution to the achievement  of students' posttest  scores than the other two methods. To test whether the difference in average rating is statistically significant, a cross wallis hypothesis test was carried out  whose results are as seen in the following table 5</w:t>
      </w:r>
      <w:r w:rsidR="00065A0C">
        <w:rPr>
          <w:rFonts w:ascii="Times New Roman" w:eastAsia="Times New Roman" w:hAnsi="Times New Roman" w:cs="Times New Roman"/>
          <w:sz w:val="24"/>
          <w:szCs w:val="24"/>
        </w:rPr>
        <w:t>.</w:t>
      </w:r>
    </w:p>
    <w:p w14:paraId="04825697" w14:textId="77777777" w:rsidR="00065A0C" w:rsidRDefault="00065A0C" w:rsidP="00A37A64">
      <w:pPr>
        <w:spacing w:before="120" w:after="120" w:line="240" w:lineRule="auto"/>
        <w:jc w:val="both"/>
        <w:rPr>
          <w:rFonts w:ascii="Times New Roman" w:eastAsia="Times New Roman" w:hAnsi="Times New Roman" w:cs="Times New Roman"/>
          <w:sz w:val="24"/>
          <w:szCs w:val="24"/>
        </w:rPr>
      </w:pPr>
    </w:p>
    <w:p w14:paraId="2334D8D0" w14:textId="77777777" w:rsidR="00065A0C" w:rsidRPr="00A37A64" w:rsidRDefault="00065A0C" w:rsidP="00A37A64">
      <w:pPr>
        <w:spacing w:before="120" w:after="120" w:line="240" w:lineRule="auto"/>
        <w:jc w:val="both"/>
        <w:rPr>
          <w:rFonts w:ascii="Times New Roman" w:eastAsia="Times New Roman" w:hAnsi="Times New Roman" w:cs="Times New Roman"/>
          <w:sz w:val="24"/>
          <w:szCs w:val="24"/>
        </w:rPr>
      </w:pPr>
    </w:p>
    <w:p w14:paraId="43F58E0A" w14:textId="3B58589B" w:rsidR="00A37A64" w:rsidRPr="00A37A64" w:rsidRDefault="00A37A64" w:rsidP="00A37A64">
      <w:pPr>
        <w:spacing w:before="120" w:after="120" w:line="240" w:lineRule="auto"/>
        <w:jc w:val="center"/>
        <w:rPr>
          <w:rFonts w:ascii="Times New Roman" w:eastAsia="Times New Roman" w:hAnsi="Times New Roman" w:cs="Times New Roman"/>
          <w:i/>
          <w:iCs/>
          <w:sz w:val="24"/>
          <w:szCs w:val="24"/>
        </w:rPr>
      </w:pPr>
      <w:bookmarkStart w:id="24" w:name="_Toc219281825"/>
      <w:bookmarkStart w:id="25" w:name="_Toc219281915"/>
      <w:bookmarkStart w:id="26" w:name="_Toc219282022"/>
      <w:bookmarkStart w:id="27" w:name="_Hlk219273943"/>
      <w:r w:rsidRPr="00A37A64">
        <w:rPr>
          <w:rFonts w:ascii="Times New Roman" w:eastAsia="Times New Roman" w:hAnsi="Times New Roman" w:cs="Times New Roman"/>
          <w:sz w:val="24"/>
          <w:szCs w:val="24"/>
        </w:rPr>
        <w:lastRenderedPageBreak/>
        <w:t xml:space="preserve">Table </w:t>
      </w:r>
      <w:r w:rsidRPr="00A37A64">
        <w:rPr>
          <w:rFonts w:ascii="Times New Roman" w:eastAsia="Times New Roman" w:hAnsi="Times New Roman" w:cs="Times New Roman"/>
          <w:i/>
          <w:iCs/>
          <w:sz w:val="24"/>
          <w:szCs w:val="24"/>
        </w:rPr>
        <w:fldChar w:fldCharType="begin"/>
      </w:r>
      <w:r w:rsidRPr="00A37A64">
        <w:rPr>
          <w:rFonts w:ascii="Times New Roman" w:eastAsia="Times New Roman" w:hAnsi="Times New Roman" w:cs="Times New Roman"/>
          <w:sz w:val="24"/>
          <w:szCs w:val="24"/>
        </w:rPr>
        <w:instrText xml:space="preserve"> SEQ Tabel_4. \* ARABIC </w:instrText>
      </w:r>
      <w:r w:rsidRPr="00A37A64">
        <w:rPr>
          <w:rFonts w:ascii="Times New Roman" w:eastAsia="Times New Roman" w:hAnsi="Times New Roman" w:cs="Times New Roman"/>
          <w:i/>
          <w:iCs/>
          <w:sz w:val="24"/>
          <w:szCs w:val="24"/>
        </w:rPr>
        <w:fldChar w:fldCharType="separate"/>
      </w:r>
      <w:r w:rsidR="000C681A">
        <w:rPr>
          <w:rFonts w:ascii="Times New Roman" w:eastAsia="Times New Roman" w:hAnsi="Times New Roman" w:cs="Times New Roman"/>
          <w:noProof/>
          <w:sz w:val="24"/>
          <w:szCs w:val="24"/>
        </w:rPr>
        <w:t>2</w:t>
      </w:r>
      <w:r w:rsidRPr="00A37A64">
        <w:rPr>
          <w:rFonts w:ascii="Times New Roman" w:eastAsia="Times New Roman" w:hAnsi="Times New Roman" w:cs="Times New Roman"/>
          <w:sz w:val="24"/>
          <w:szCs w:val="24"/>
          <w:lang w:val="id-ID"/>
        </w:rPr>
        <w:fldChar w:fldCharType="end"/>
      </w:r>
      <w:r>
        <w:rPr>
          <w:rFonts w:ascii="Times New Roman" w:eastAsia="Times New Roman" w:hAnsi="Times New Roman" w:cs="Times New Roman"/>
          <w:sz w:val="24"/>
          <w:szCs w:val="24"/>
          <w:lang w:val="id-ID"/>
        </w:rPr>
        <w:t>.</w:t>
      </w:r>
      <w:r w:rsidRPr="00A37A64">
        <w:rPr>
          <w:rFonts w:ascii="Times New Roman" w:eastAsia="Times New Roman" w:hAnsi="Times New Roman" w:cs="Times New Roman"/>
          <w:sz w:val="24"/>
          <w:szCs w:val="24"/>
        </w:rPr>
        <w:t xml:space="preserve"> Statistical Test Results</w:t>
      </w:r>
      <w:bookmarkEnd w:id="24"/>
      <w:bookmarkEnd w:id="25"/>
      <w:bookmarkEnd w:id="26"/>
    </w:p>
    <w:tbl>
      <w:tblPr>
        <w:tblStyle w:val="TableGrid"/>
        <w:tblW w:w="8995" w:type="dxa"/>
        <w:tblLook w:val="04A0" w:firstRow="1" w:lastRow="0" w:firstColumn="1" w:lastColumn="0" w:noHBand="0" w:noVBand="1"/>
      </w:tblPr>
      <w:tblGrid>
        <w:gridCol w:w="4675"/>
        <w:gridCol w:w="4320"/>
      </w:tblGrid>
      <w:tr w:rsidR="00A37A64" w:rsidRPr="00A37A64" w14:paraId="79561E93" w14:textId="77777777" w:rsidTr="00A37A64">
        <w:tc>
          <w:tcPr>
            <w:tcW w:w="4675" w:type="dxa"/>
            <w:vAlign w:val="center"/>
          </w:tcPr>
          <w:bookmarkEnd w:id="27"/>
          <w:p w14:paraId="3E56EC40" w14:textId="77777777" w:rsidR="00A37A64" w:rsidRPr="00A37A64" w:rsidRDefault="00A37A64" w:rsidP="00A37A64">
            <w:pPr>
              <w:spacing w:before="120" w:after="120"/>
              <w:contextualSpacing/>
              <w:jc w:val="center"/>
              <w:rPr>
                <w:rFonts w:eastAsia="Times New Roman"/>
                <w:b/>
                <w:bCs/>
                <w:sz w:val="24"/>
                <w:szCs w:val="24"/>
                <w:lang w:eastAsia="en-US"/>
              </w:rPr>
            </w:pPr>
            <w:r w:rsidRPr="00A37A64">
              <w:rPr>
                <w:rFonts w:eastAsia="Times New Roman"/>
                <w:b/>
                <w:bCs/>
                <w:sz w:val="24"/>
                <w:szCs w:val="24"/>
                <w:lang w:eastAsia="en-US"/>
              </w:rPr>
              <w:t>Statistical Test</w:t>
            </w:r>
          </w:p>
        </w:tc>
        <w:tc>
          <w:tcPr>
            <w:tcW w:w="4320" w:type="dxa"/>
            <w:vAlign w:val="center"/>
          </w:tcPr>
          <w:p w14:paraId="27B22C31" w14:textId="77777777" w:rsidR="00A37A64" w:rsidRPr="00A37A64" w:rsidRDefault="00A37A64" w:rsidP="00A37A64">
            <w:pPr>
              <w:spacing w:before="120" w:after="120"/>
              <w:contextualSpacing/>
              <w:jc w:val="center"/>
              <w:rPr>
                <w:rFonts w:eastAsia="Times New Roman"/>
                <w:b/>
                <w:bCs/>
                <w:sz w:val="24"/>
                <w:szCs w:val="24"/>
                <w:lang w:eastAsia="en-US"/>
              </w:rPr>
            </w:pPr>
            <w:r w:rsidRPr="00A37A64">
              <w:rPr>
                <w:rFonts w:eastAsia="Times New Roman"/>
                <w:b/>
                <w:bCs/>
                <w:sz w:val="24"/>
                <w:szCs w:val="24"/>
                <w:lang w:eastAsia="en-US"/>
              </w:rPr>
              <w:t>Post Test Scores</w:t>
            </w:r>
          </w:p>
        </w:tc>
      </w:tr>
      <w:tr w:rsidR="00A37A64" w:rsidRPr="00A37A64" w14:paraId="3FC826FE" w14:textId="77777777" w:rsidTr="00A37A64">
        <w:tc>
          <w:tcPr>
            <w:tcW w:w="4675" w:type="dxa"/>
            <w:vAlign w:val="center"/>
          </w:tcPr>
          <w:p w14:paraId="77DFF83E" w14:textId="77777777" w:rsidR="00A37A64" w:rsidRPr="00A37A64" w:rsidRDefault="00A37A64" w:rsidP="00A37A64">
            <w:pPr>
              <w:spacing w:before="120" w:after="120"/>
              <w:contextualSpacing/>
              <w:jc w:val="center"/>
              <w:rPr>
                <w:rFonts w:eastAsia="Times New Roman"/>
                <w:sz w:val="24"/>
                <w:szCs w:val="24"/>
                <w:lang w:eastAsia="en-US"/>
              </w:rPr>
            </w:pPr>
            <w:r w:rsidRPr="00A37A64">
              <w:rPr>
                <w:rFonts w:eastAsia="Times New Roman"/>
                <w:sz w:val="24"/>
                <w:szCs w:val="24"/>
                <w:lang w:eastAsia="en-US"/>
              </w:rPr>
              <w:t>Kruskal Valais H</w:t>
            </w:r>
          </w:p>
        </w:tc>
        <w:tc>
          <w:tcPr>
            <w:tcW w:w="4320" w:type="dxa"/>
            <w:vAlign w:val="center"/>
          </w:tcPr>
          <w:p w14:paraId="664352B0" w14:textId="77777777" w:rsidR="00A37A64" w:rsidRPr="00A37A64" w:rsidRDefault="00A37A64" w:rsidP="00A37A64">
            <w:pPr>
              <w:spacing w:before="120" w:after="120"/>
              <w:contextualSpacing/>
              <w:jc w:val="center"/>
              <w:rPr>
                <w:rFonts w:eastAsia="Times New Roman"/>
                <w:sz w:val="24"/>
                <w:szCs w:val="24"/>
                <w:lang w:eastAsia="en-US"/>
              </w:rPr>
            </w:pPr>
            <w:r w:rsidRPr="00A37A64">
              <w:rPr>
                <w:rFonts w:eastAsia="Times New Roman"/>
                <w:sz w:val="24"/>
                <w:szCs w:val="24"/>
                <w:lang w:eastAsia="en-US"/>
              </w:rPr>
              <w:t>18,006</w:t>
            </w:r>
          </w:p>
        </w:tc>
      </w:tr>
      <w:tr w:rsidR="00A37A64" w:rsidRPr="00A37A64" w14:paraId="572905DC" w14:textId="77777777" w:rsidTr="00A37A64">
        <w:tc>
          <w:tcPr>
            <w:tcW w:w="4675" w:type="dxa"/>
            <w:vAlign w:val="center"/>
          </w:tcPr>
          <w:p w14:paraId="7C8CBE2E" w14:textId="77777777" w:rsidR="00A37A64" w:rsidRPr="00A37A64" w:rsidRDefault="00A37A64" w:rsidP="00A37A64">
            <w:pPr>
              <w:spacing w:before="120" w:after="120"/>
              <w:contextualSpacing/>
              <w:jc w:val="center"/>
              <w:rPr>
                <w:rFonts w:eastAsia="Times New Roman"/>
                <w:sz w:val="24"/>
                <w:szCs w:val="24"/>
                <w:lang w:eastAsia="en-US"/>
              </w:rPr>
            </w:pPr>
            <w:r w:rsidRPr="00A37A64">
              <w:rPr>
                <w:rFonts w:eastAsia="Times New Roman"/>
                <w:sz w:val="24"/>
                <w:szCs w:val="24"/>
                <w:lang w:eastAsia="en-US"/>
              </w:rPr>
              <w:t>df (Degree of Freedom)</w:t>
            </w:r>
          </w:p>
        </w:tc>
        <w:tc>
          <w:tcPr>
            <w:tcW w:w="4320" w:type="dxa"/>
            <w:vAlign w:val="center"/>
          </w:tcPr>
          <w:p w14:paraId="3E68D7BB" w14:textId="77777777" w:rsidR="00A37A64" w:rsidRPr="00A37A64" w:rsidRDefault="00A37A64" w:rsidP="00A37A64">
            <w:pPr>
              <w:spacing w:before="120" w:after="120"/>
              <w:contextualSpacing/>
              <w:jc w:val="center"/>
              <w:rPr>
                <w:rFonts w:eastAsia="Times New Roman"/>
                <w:sz w:val="24"/>
                <w:szCs w:val="24"/>
                <w:lang w:eastAsia="en-US"/>
              </w:rPr>
            </w:pPr>
            <w:r w:rsidRPr="00A37A64">
              <w:rPr>
                <w:rFonts w:eastAsia="Times New Roman"/>
                <w:sz w:val="24"/>
                <w:szCs w:val="24"/>
                <w:lang w:eastAsia="en-US"/>
              </w:rPr>
              <w:t>2</w:t>
            </w:r>
          </w:p>
        </w:tc>
      </w:tr>
      <w:tr w:rsidR="00A37A64" w:rsidRPr="00A37A64" w14:paraId="6F352F79" w14:textId="77777777" w:rsidTr="00A37A64">
        <w:tc>
          <w:tcPr>
            <w:tcW w:w="4675" w:type="dxa"/>
            <w:vAlign w:val="center"/>
          </w:tcPr>
          <w:p w14:paraId="5BD2BC76" w14:textId="77777777" w:rsidR="00A37A64" w:rsidRPr="00A37A64" w:rsidRDefault="00A37A64" w:rsidP="00A37A64">
            <w:pPr>
              <w:spacing w:before="120" w:after="120"/>
              <w:contextualSpacing/>
              <w:jc w:val="center"/>
              <w:rPr>
                <w:rFonts w:eastAsia="Times New Roman"/>
                <w:sz w:val="24"/>
                <w:szCs w:val="24"/>
                <w:lang w:eastAsia="en-US"/>
              </w:rPr>
            </w:pPr>
            <w:r w:rsidRPr="00A37A64">
              <w:rPr>
                <w:rFonts w:eastAsia="Times New Roman"/>
                <w:sz w:val="24"/>
                <w:szCs w:val="24"/>
                <w:lang w:eastAsia="en-US"/>
              </w:rPr>
              <w:t>Asymp.Sig (Significance)</w:t>
            </w:r>
          </w:p>
        </w:tc>
        <w:tc>
          <w:tcPr>
            <w:tcW w:w="4320" w:type="dxa"/>
            <w:vAlign w:val="center"/>
          </w:tcPr>
          <w:p w14:paraId="3E94D827" w14:textId="77777777" w:rsidR="00A37A64" w:rsidRPr="00A37A64" w:rsidRDefault="00A37A64" w:rsidP="00A37A64">
            <w:pPr>
              <w:spacing w:before="120" w:after="120"/>
              <w:contextualSpacing/>
              <w:jc w:val="center"/>
              <w:rPr>
                <w:rFonts w:eastAsia="Times New Roman"/>
                <w:sz w:val="24"/>
                <w:szCs w:val="24"/>
                <w:lang w:eastAsia="en-US"/>
              </w:rPr>
            </w:pPr>
            <w:r w:rsidRPr="00A37A64">
              <w:rPr>
                <w:rFonts w:eastAsia="Times New Roman"/>
                <w:sz w:val="24"/>
                <w:szCs w:val="24"/>
                <w:lang w:eastAsia="en-US"/>
              </w:rPr>
              <w:t>,000</w:t>
            </w:r>
          </w:p>
        </w:tc>
      </w:tr>
    </w:tbl>
    <w:p w14:paraId="3A28348A" w14:textId="7276D0AD" w:rsidR="00A37A64" w:rsidRPr="00A37A64" w:rsidRDefault="00A37A64" w:rsidP="00A37A64">
      <w:pPr>
        <w:spacing w:before="120" w:after="120" w:line="240" w:lineRule="auto"/>
        <w:jc w:val="both"/>
        <w:rPr>
          <w:rFonts w:ascii="Times New Roman" w:eastAsia="Times New Roman" w:hAnsi="Times New Roman" w:cs="Times New Roman"/>
          <w:sz w:val="24"/>
          <w:szCs w:val="24"/>
        </w:rPr>
      </w:pPr>
      <w:bookmarkStart w:id="28" w:name="_Toc219281826"/>
      <w:bookmarkStart w:id="29" w:name="_Toc219281916"/>
      <w:bookmarkStart w:id="30" w:name="_Toc219282023"/>
      <w:bookmarkStart w:id="31" w:name="_Hlk219273955"/>
      <w:r w:rsidRPr="00A37A64">
        <w:rPr>
          <w:rFonts w:ascii="Times New Roman" w:eastAsia="Times New Roman" w:hAnsi="Times New Roman" w:cs="Times New Roman"/>
          <w:sz w:val="24"/>
          <w:szCs w:val="24"/>
        </w:rPr>
        <w:t xml:space="preserve">Table 5 shows that the Kruskal value of Wallis H is 18.006 with a freedom level of 2. The significance value obtained was 0.000, smaller than the significance threshold of 0.05. This shows a statistically significant difference in post-secondary scores between the three groups, namely the experimental group, the PBL group, and the conventional group. This indicates that the difference in average ratings seen earlier is not purely coincidental, but is related to the variation in the treatment of the learning model applied in the context of this study. </w:t>
      </w:r>
    </w:p>
    <w:p w14:paraId="33745C50" w14:textId="04E6FA5A" w:rsidR="00A37A64" w:rsidRPr="00A37A64" w:rsidRDefault="00A37A64" w:rsidP="00A37A64">
      <w:pPr>
        <w:spacing w:before="120" w:after="120" w:line="240" w:lineRule="auto"/>
        <w:jc w:val="both"/>
        <w:rPr>
          <w:rFonts w:ascii="Times New Roman" w:eastAsia="Times New Roman" w:hAnsi="Times New Roman" w:cs="Times New Roman"/>
          <w:sz w:val="24"/>
          <w:szCs w:val="24"/>
        </w:rPr>
      </w:pPr>
      <w:r w:rsidRPr="00A37A64">
        <w:rPr>
          <w:rFonts w:ascii="Times New Roman" w:eastAsia="Times New Roman" w:hAnsi="Times New Roman" w:cs="Times New Roman"/>
          <w:sz w:val="24"/>
          <w:szCs w:val="24"/>
        </w:rPr>
        <w:t>Effect size analysis was carried out to measure the magnitude of the practical impact of the different learning models. Based on the calculation results, the Epsilon Squared value was obtained as 0.281. Referring to the Cohen criteria, this value is in the category of large securities beyond the threshold of 0.26. These results show that the difference in HOTS scores between groups is not just a theoretical difference in numbers, but has a strong and real influence practically on the learning process in the classroom. To identify which group pairs have significant differences, pairing comparisons are performed with the results presented in the following table</w:t>
      </w:r>
      <w:r w:rsidR="00065A0C">
        <w:rPr>
          <w:rFonts w:ascii="Times New Roman" w:eastAsia="Times New Roman" w:hAnsi="Times New Roman" w:cs="Times New Roman"/>
          <w:sz w:val="24"/>
          <w:szCs w:val="24"/>
        </w:rPr>
        <w:t>.</w:t>
      </w:r>
    </w:p>
    <w:p w14:paraId="12063C29" w14:textId="3FAA28A0" w:rsidR="00A37A64" w:rsidRPr="00A37A64" w:rsidRDefault="00A37A64" w:rsidP="00A37A64">
      <w:pPr>
        <w:spacing w:before="120" w:after="120" w:line="240" w:lineRule="auto"/>
        <w:jc w:val="center"/>
        <w:rPr>
          <w:rFonts w:ascii="Times New Roman" w:eastAsia="Times New Roman" w:hAnsi="Times New Roman" w:cs="Times New Roman"/>
          <w:sz w:val="24"/>
          <w:szCs w:val="24"/>
        </w:rPr>
      </w:pPr>
      <w:r w:rsidRPr="00A37A64">
        <w:rPr>
          <w:rFonts w:ascii="Times New Roman" w:eastAsia="Times New Roman" w:hAnsi="Times New Roman" w:cs="Times New Roman"/>
          <w:sz w:val="24"/>
          <w:szCs w:val="24"/>
        </w:rPr>
        <w:t>Tabel 6</w:t>
      </w:r>
      <w:r>
        <w:rPr>
          <w:rFonts w:ascii="Times New Roman" w:eastAsia="Times New Roman" w:hAnsi="Times New Roman" w:cs="Times New Roman"/>
          <w:sz w:val="24"/>
          <w:szCs w:val="24"/>
        </w:rPr>
        <w:t>.</w:t>
      </w:r>
      <w:r w:rsidRPr="00A37A64">
        <w:rPr>
          <w:rFonts w:ascii="Times New Roman" w:eastAsia="Times New Roman" w:hAnsi="Times New Roman" w:cs="Times New Roman"/>
          <w:sz w:val="24"/>
          <w:szCs w:val="24"/>
        </w:rPr>
        <w:t xml:space="preserve"> Pairwise Comparisons</w:t>
      </w:r>
      <w:bookmarkEnd w:id="28"/>
      <w:bookmarkEnd w:id="29"/>
      <w:bookmarkEnd w:id="30"/>
      <w:bookmarkEnd w:id="31"/>
    </w:p>
    <w:tbl>
      <w:tblPr>
        <w:tblStyle w:val="TableGrid"/>
        <w:tblW w:w="9007" w:type="dxa"/>
        <w:jc w:val="right"/>
        <w:tblLook w:val="04A0" w:firstRow="1" w:lastRow="0" w:firstColumn="1" w:lastColumn="0" w:noHBand="0" w:noVBand="1"/>
      </w:tblPr>
      <w:tblGrid>
        <w:gridCol w:w="3655"/>
        <w:gridCol w:w="1043"/>
        <w:gridCol w:w="1233"/>
        <w:gridCol w:w="636"/>
        <w:gridCol w:w="983"/>
        <w:gridCol w:w="1457"/>
      </w:tblGrid>
      <w:tr w:rsidR="00A37A64" w:rsidRPr="00A37A64" w14:paraId="521636A9" w14:textId="77777777" w:rsidTr="00A37A64">
        <w:trPr>
          <w:jc w:val="right"/>
        </w:trPr>
        <w:tc>
          <w:tcPr>
            <w:tcW w:w="3655" w:type="dxa"/>
            <w:vAlign w:val="center"/>
          </w:tcPr>
          <w:p w14:paraId="143EB53B" w14:textId="77777777" w:rsidR="00A37A64" w:rsidRPr="00A37A64" w:rsidRDefault="00A37A64" w:rsidP="00A37A64">
            <w:pPr>
              <w:spacing w:before="120" w:after="120"/>
              <w:contextualSpacing/>
              <w:jc w:val="center"/>
              <w:rPr>
                <w:rFonts w:eastAsia="Times New Roman"/>
                <w:b/>
                <w:bCs/>
                <w:sz w:val="24"/>
                <w:szCs w:val="24"/>
                <w:lang w:eastAsia="en-US"/>
              </w:rPr>
            </w:pPr>
            <w:r w:rsidRPr="00A37A64">
              <w:rPr>
                <w:rFonts w:eastAsia="Times New Roman"/>
                <w:b/>
                <w:bCs/>
                <w:sz w:val="24"/>
                <w:szCs w:val="24"/>
                <w:lang w:eastAsia="en-US"/>
              </w:rPr>
              <w:t>Group Comparison</w:t>
            </w:r>
          </w:p>
        </w:tc>
        <w:tc>
          <w:tcPr>
            <w:tcW w:w="1043" w:type="dxa"/>
            <w:vAlign w:val="center"/>
          </w:tcPr>
          <w:p w14:paraId="44BB6516" w14:textId="77777777" w:rsidR="00A37A64" w:rsidRPr="00A37A64" w:rsidRDefault="00A37A64" w:rsidP="00A37A64">
            <w:pPr>
              <w:spacing w:before="120" w:after="120"/>
              <w:contextualSpacing/>
              <w:jc w:val="center"/>
              <w:rPr>
                <w:rFonts w:eastAsia="Times New Roman"/>
                <w:b/>
                <w:bCs/>
                <w:sz w:val="24"/>
                <w:szCs w:val="24"/>
                <w:lang w:eastAsia="en-US"/>
              </w:rPr>
            </w:pPr>
            <w:r w:rsidRPr="00A37A64">
              <w:rPr>
                <w:rFonts w:eastAsia="Times New Roman"/>
                <w:b/>
                <w:bCs/>
                <w:sz w:val="24"/>
                <w:szCs w:val="24"/>
                <w:lang w:eastAsia="en-US"/>
              </w:rPr>
              <w:t>Test Statistic</w:t>
            </w:r>
          </w:p>
        </w:tc>
        <w:tc>
          <w:tcPr>
            <w:tcW w:w="1233" w:type="dxa"/>
            <w:vAlign w:val="center"/>
          </w:tcPr>
          <w:p w14:paraId="6421CFDC" w14:textId="77777777" w:rsidR="00A37A64" w:rsidRPr="00A37A64" w:rsidRDefault="00A37A64" w:rsidP="00A37A64">
            <w:pPr>
              <w:spacing w:before="120" w:after="120"/>
              <w:contextualSpacing/>
              <w:jc w:val="center"/>
              <w:rPr>
                <w:rFonts w:eastAsia="Times New Roman"/>
                <w:b/>
                <w:bCs/>
                <w:sz w:val="24"/>
                <w:szCs w:val="24"/>
                <w:lang w:eastAsia="en-US"/>
              </w:rPr>
            </w:pPr>
            <w:r w:rsidRPr="00A37A64">
              <w:rPr>
                <w:rFonts w:eastAsia="Times New Roman"/>
                <w:b/>
                <w:bCs/>
                <w:sz w:val="24"/>
                <w:szCs w:val="24"/>
                <w:lang w:eastAsia="en-US"/>
              </w:rPr>
              <w:t>Std.Error</w:t>
            </w:r>
          </w:p>
        </w:tc>
        <w:tc>
          <w:tcPr>
            <w:tcW w:w="636" w:type="dxa"/>
            <w:vAlign w:val="center"/>
          </w:tcPr>
          <w:p w14:paraId="00302715" w14:textId="77777777" w:rsidR="00A37A64" w:rsidRPr="00A37A64" w:rsidRDefault="00A37A64" w:rsidP="00A37A64">
            <w:pPr>
              <w:spacing w:before="120" w:after="120"/>
              <w:contextualSpacing/>
              <w:jc w:val="center"/>
              <w:rPr>
                <w:rFonts w:eastAsia="Times New Roman"/>
                <w:b/>
                <w:bCs/>
                <w:sz w:val="24"/>
                <w:szCs w:val="24"/>
                <w:lang w:eastAsia="en-US"/>
              </w:rPr>
            </w:pPr>
            <w:r w:rsidRPr="00A37A64">
              <w:rPr>
                <w:rFonts w:eastAsia="Times New Roman"/>
                <w:b/>
                <w:bCs/>
                <w:sz w:val="24"/>
                <w:szCs w:val="24"/>
                <w:lang w:eastAsia="en-US"/>
              </w:rPr>
              <w:t>Sig</w:t>
            </w:r>
          </w:p>
        </w:tc>
        <w:tc>
          <w:tcPr>
            <w:tcW w:w="983" w:type="dxa"/>
            <w:vAlign w:val="center"/>
          </w:tcPr>
          <w:p w14:paraId="52580348" w14:textId="77777777" w:rsidR="00A37A64" w:rsidRPr="00A37A64" w:rsidRDefault="00A37A64" w:rsidP="00A37A64">
            <w:pPr>
              <w:spacing w:before="120" w:after="120"/>
              <w:contextualSpacing/>
              <w:jc w:val="center"/>
              <w:rPr>
                <w:rFonts w:eastAsia="Times New Roman"/>
                <w:b/>
                <w:bCs/>
                <w:sz w:val="24"/>
                <w:szCs w:val="24"/>
                <w:lang w:eastAsia="en-US"/>
              </w:rPr>
            </w:pPr>
            <w:r w:rsidRPr="00A37A64">
              <w:rPr>
                <w:rFonts w:eastAsia="Times New Roman"/>
                <w:b/>
                <w:bCs/>
                <w:sz w:val="24"/>
                <w:szCs w:val="24"/>
                <w:lang w:eastAsia="en-US"/>
              </w:rPr>
              <w:t>Adj.Sig</w:t>
            </w:r>
          </w:p>
        </w:tc>
        <w:tc>
          <w:tcPr>
            <w:tcW w:w="1457" w:type="dxa"/>
            <w:vAlign w:val="center"/>
          </w:tcPr>
          <w:p w14:paraId="1582B2E8" w14:textId="77777777" w:rsidR="00A37A64" w:rsidRPr="00A37A64" w:rsidRDefault="00A37A64" w:rsidP="00A37A64">
            <w:pPr>
              <w:spacing w:before="120" w:after="120"/>
              <w:contextualSpacing/>
              <w:jc w:val="center"/>
              <w:rPr>
                <w:rFonts w:eastAsia="Times New Roman"/>
                <w:b/>
                <w:bCs/>
                <w:sz w:val="24"/>
                <w:szCs w:val="24"/>
                <w:lang w:eastAsia="en-US"/>
              </w:rPr>
            </w:pPr>
            <w:r w:rsidRPr="00A37A64">
              <w:rPr>
                <w:rFonts w:eastAsia="Times New Roman"/>
                <w:b/>
                <w:bCs/>
                <w:sz w:val="24"/>
                <w:szCs w:val="24"/>
                <w:lang w:eastAsia="en-US"/>
              </w:rPr>
              <w:t>Conclusion</w:t>
            </w:r>
          </w:p>
        </w:tc>
      </w:tr>
      <w:tr w:rsidR="00A37A64" w:rsidRPr="00A37A64" w14:paraId="2B4145DE" w14:textId="77777777" w:rsidTr="00A37A64">
        <w:trPr>
          <w:jc w:val="right"/>
        </w:trPr>
        <w:tc>
          <w:tcPr>
            <w:tcW w:w="3655" w:type="dxa"/>
            <w:vAlign w:val="center"/>
          </w:tcPr>
          <w:p w14:paraId="393BDD11" w14:textId="77777777" w:rsidR="00A37A64" w:rsidRPr="00A37A64" w:rsidRDefault="00A37A64" w:rsidP="00A37A64">
            <w:pPr>
              <w:spacing w:before="120" w:after="120"/>
              <w:contextualSpacing/>
              <w:jc w:val="center"/>
              <w:rPr>
                <w:rFonts w:eastAsia="Times New Roman"/>
                <w:sz w:val="24"/>
                <w:szCs w:val="24"/>
                <w:lang w:eastAsia="en-US"/>
              </w:rPr>
            </w:pPr>
            <w:r w:rsidRPr="00A37A64">
              <w:rPr>
                <w:rFonts w:eastAsia="Times New Roman"/>
                <w:sz w:val="24"/>
                <w:szCs w:val="24"/>
                <w:lang w:eastAsia="en-US"/>
              </w:rPr>
              <w:t>Conventional vs PBL (3-2)</w:t>
            </w:r>
          </w:p>
        </w:tc>
        <w:tc>
          <w:tcPr>
            <w:tcW w:w="1043" w:type="dxa"/>
            <w:vAlign w:val="center"/>
          </w:tcPr>
          <w:p w14:paraId="489CAFB0" w14:textId="77777777" w:rsidR="00A37A64" w:rsidRPr="00A37A64" w:rsidRDefault="00A37A64" w:rsidP="00A37A64">
            <w:pPr>
              <w:spacing w:before="120" w:after="120"/>
              <w:contextualSpacing/>
              <w:jc w:val="center"/>
              <w:rPr>
                <w:rFonts w:eastAsia="Times New Roman"/>
                <w:sz w:val="24"/>
                <w:szCs w:val="24"/>
                <w:lang w:eastAsia="en-US"/>
              </w:rPr>
            </w:pPr>
            <w:r w:rsidRPr="00A37A64">
              <w:rPr>
                <w:rFonts w:eastAsia="Times New Roman"/>
                <w:sz w:val="24"/>
                <w:szCs w:val="24"/>
                <w:lang w:eastAsia="en-US"/>
              </w:rPr>
              <w:t>4,028</w:t>
            </w:r>
          </w:p>
        </w:tc>
        <w:tc>
          <w:tcPr>
            <w:tcW w:w="1233" w:type="dxa"/>
            <w:vAlign w:val="center"/>
          </w:tcPr>
          <w:p w14:paraId="3E0CDCF6" w14:textId="77777777" w:rsidR="00A37A64" w:rsidRPr="00A37A64" w:rsidRDefault="00A37A64" w:rsidP="00A37A64">
            <w:pPr>
              <w:spacing w:before="120" w:after="120"/>
              <w:contextualSpacing/>
              <w:jc w:val="center"/>
              <w:rPr>
                <w:rFonts w:eastAsia="Times New Roman"/>
                <w:sz w:val="24"/>
                <w:szCs w:val="24"/>
                <w:lang w:eastAsia="en-US"/>
              </w:rPr>
            </w:pPr>
            <w:r w:rsidRPr="00A37A64">
              <w:rPr>
                <w:rFonts w:eastAsia="Times New Roman"/>
                <w:sz w:val="24"/>
                <w:szCs w:val="24"/>
                <w:lang w:eastAsia="en-US"/>
              </w:rPr>
              <w:t>5,399</w:t>
            </w:r>
          </w:p>
        </w:tc>
        <w:tc>
          <w:tcPr>
            <w:tcW w:w="636" w:type="dxa"/>
            <w:vAlign w:val="center"/>
          </w:tcPr>
          <w:p w14:paraId="0E85A409" w14:textId="77777777" w:rsidR="00A37A64" w:rsidRPr="00A37A64" w:rsidRDefault="00A37A64" w:rsidP="00A37A64">
            <w:pPr>
              <w:spacing w:before="120" w:after="120"/>
              <w:contextualSpacing/>
              <w:jc w:val="center"/>
              <w:rPr>
                <w:rFonts w:eastAsia="Times New Roman"/>
                <w:sz w:val="24"/>
                <w:szCs w:val="24"/>
                <w:lang w:eastAsia="en-US"/>
              </w:rPr>
            </w:pPr>
            <w:r w:rsidRPr="00A37A64">
              <w:rPr>
                <w:rFonts w:eastAsia="Times New Roman"/>
                <w:sz w:val="24"/>
                <w:szCs w:val="24"/>
                <w:lang w:eastAsia="en-US"/>
              </w:rPr>
              <w:t>,456</w:t>
            </w:r>
          </w:p>
        </w:tc>
        <w:tc>
          <w:tcPr>
            <w:tcW w:w="983" w:type="dxa"/>
            <w:vAlign w:val="center"/>
          </w:tcPr>
          <w:p w14:paraId="37F29881" w14:textId="77777777" w:rsidR="00A37A64" w:rsidRPr="00A37A64" w:rsidRDefault="00A37A64" w:rsidP="00A37A64">
            <w:pPr>
              <w:spacing w:before="120" w:after="120"/>
              <w:contextualSpacing/>
              <w:jc w:val="center"/>
              <w:rPr>
                <w:rFonts w:eastAsia="Times New Roman"/>
                <w:sz w:val="24"/>
                <w:szCs w:val="24"/>
                <w:lang w:eastAsia="en-US"/>
              </w:rPr>
            </w:pPr>
            <w:r w:rsidRPr="00A37A64">
              <w:rPr>
                <w:rFonts w:eastAsia="Times New Roman"/>
                <w:sz w:val="24"/>
                <w:szCs w:val="24"/>
                <w:lang w:eastAsia="en-US"/>
              </w:rPr>
              <w:t>1,000</w:t>
            </w:r>
          </w:p>
        </w:tc>
        <w:tc>
          <w:tcPr>
            <w:tcW w:w="1457" w:type="dxa"/>
            <w:vAlign w:val="center"/>
          </w:tcPr>
          <w:p w14:paraId="70D15F48" w14:textId="77777777" w:rsidR="00A37A64" w:rsidRPr="00A37A64" w:rsidRDefault="00A37A64" w:rsidP="00A37A64">
            <w:pPr>
              <w:spacing w:before="120" w:after="120"/>
              <w:contextualSpacing/>
              <w:jc w:val="center"/>
              <w:rPr>
                <w:rFonts w:eastAsia="Times New Roman"/>
                <w:sz w:val="24"/>
                <w:szCs w:val="24"/>
                <w:lang w:eastAsia="en-US"/>
              </w:rPr>
            </w:pPr>
            <w:r w:rsidRPr="00A37A64">
              <w:rPr>
                <w:rFonts w:eastAsia="Times New Roman"/>
                <w:sz w:val="24"/>
                <w:szCs w:val="24"/>
                <w:lang w:eastAsia="en-US"/>
              </w:rPr>
              <w:t>Insignificant</w:t>
            </w:r>
          </w:p>
        </w:tc>
      </w:tr>
      <w:tr w:rsidR="00A37A64" w:rsidRPr="00A37A64" w14:paraId="14A44C0D" w14:textId="77777777" w:rsidTr="00A37A64">
        <w:trPr>
          <w:jc w:val="right"/>
        </w:trPr>
        <w:tc>
          <w:tcPr>
            <w:tcW w:w="3655" w:type="dxa"/>
            <w:vAlign w:val="center"/>
          </w:tcPr>
          <w:p w14:paraId="0222211B" w14:textId="77777777" w:rsidR="00A37A64" w:rsidRPr="00A37A64" w:rsidRDefault="00A37A64" w:rsidP="00A37A64">
            <w:pPr>
              <w:spacing w:before="120" w:after="120"/>
              <w:contextualSpacing/>
              <w:jc w:val="center"/>
              <w:rPr>
                <w:rFonts w:eastAsia="Times New Roman"/>
                <w:sz w:val="24"/>
                <w:szCs w:val="24"/>
                <w:lang w:eastAsia="en-US"/>
              </w:rPr>
            </w:pPr>
            <w:r w:rsidRPr="00A37A64">
              <w:rPr>
                <w:rFonts w:eastAsia="Times New Roman"/>
                <w:sz w:val="24"/>
                <w:szCs w:val="24"/>
                <w:lang w:eastAsia="en-US"/>
              </w:rPr>
              <w:t>Conventional vs PBL &amp; TPACK (3-1)</w:t>
            </w:r>
          </w:p>
        </w:tc>
        <w:tc>
          <w:tcPr>
            <w:tcW w:w="1043" w:type="dxa"/>
            <w:vAlign w:val="center"/>
          </w:tcPr>
          <w:p w14:paraId="725CB8E9" w14:textId="77777777" w:rsidR="00A37A64" w:rsidRPr="00A37A64" w:rsidRDefault="00A37A64" w:rsidP="00A37A64">
            <w:pPr>
              <w:spacing w:before="120" w:after="120"/>
              <w:contextualSpacing/>
              <w:jc w:val="center"/>
              <w:rPr>
                <w:rFonts w:eastAsia="Times New Roman"/>
                <w:sz w:val="24"/>
                <w:szCs w:val="24"/>
                <w:lang w:eastAsia="en-US"/>
              </w:rPr>
            </w:pPr>
            <w:r w:rsidRPr="00A37A64">
              <w:rPr>
                <w:rFonts w:eastAsia="Times New Roman"/>
                <w:sz w:val="24"/>
                <w:szCs w:val="24"/>
                <w:lang w:eastAsia="en-US"/>
              </w:rPr>
              <w:t>21,437</w:t>
            </w:r>
          </w:p>
        </w:tc>
        <w:tc>
          <w:tcPr>
            <w:tcW w:w="1233" w:type="dxa"/>
            <w:vAlign w:val="center"/>
          </w:tcPr>
          <w:p w14:paraId="6A2EB403" w14:textId="77777777" w:rsidR="00A37A64" w:rsidRPr="00A37A64" w:rsidRDefault="00A37A64" w:rsidP="00A37A64">
            <w:pPr>
              <w:spacing w:before="120" w:after="120"/>
              <w:contextualSpacing/>
              <w:jc w:val="center"/>
              <w:rPr>
                <w:rFonts w:eastAsia="Times New Roman"/>
                <w:sz w:val="24"/>
                <w:szCs w:val="24"/>
                <w:lang w:eastAsia="en-US"/>
              </w:rPr>
            </w:pPr>
            <w:r w:rsidRPr="00A37A64">
              <w:rPr>
                <w:rFonts w:eastAsia="Times New Roman"/>
                <w:sz w:val="24"/>
                <w:szCs w:val="24"/>
                <w:lang w:eastAsia="en-US"/>
              </w:rPr>
              <w:t>5,399</w:t>
            </w:r>
          </w:p>
        </w:tc>
        <w:tc>
          <w:tcPr>
            <w:tcW w:w="636" w:type="dxa"/>
            <w:vAlign w:val="center"/>
          </w:tcPr>
          <w:p w14:paraId="1CBCC11E" w14:textId="77777777" w:rsidR="00A37A64" w:rsidRPr="00A37A64" w:rsidRDefault="00A37A64" w:rsidP="00A37A64">
            <w:pPr>
              <w:spacing w:before="120" w:after="120"/>
              <w:contextualSpacing/>
              <w:jc w:val="center"/>
              <w:rPr>
                <w:rFonts w:eastAsia="Times New Roman"/>
                <w:sz w:val="24"/>
                <w:szCs w:val="24"/>
                <w:lang w:eastAsia="en-US"/>
              </w:rPr>
            </w:pPr>
            <w:r w:rsidRPr="00A37A64">
              <w:rPr>
                <w:rFonts w:eastAsia="Times New Roman"/>
                <w:sz w:val="24"/>
                <w:szCs w:val="24"/>
                <w:lang w:eastAsia="en-US"/>
              </w:rPr>
              <w:t>,000</w:t>
            </w:r>
          </w:p>
        </w:tc>
        <w:tc>
          <w:tcPr>
            <w:tcW w:w="983" w:type="dxa"/>
            <w:vAlign w:val="center"/>
          </w:tcPr>
          <w:p w14:paraId="10495034" w14:textId="77777777" w:rsidR="00A37A64" w:rsidRPr="00A37A64" w:rsidRDefault="00A37A64" w:rsidP="00A37A64">
            <w:pPr>
              <w:spacing w:before="120" w:after="120"/>
              <w:contextualSpacing/>
              <w:jc w:val="center"/>
              <w:rPr>
                <w:rFonts w:eastAsia="Times New Roman"/>
                <w:sz w:val="24"/>
                <w:szCs w:val="24"/>
                <w:lang w:eastAsia="en-US"/>
              </w:rPr>
            </w:pPr>
            <w:r w:rsidRPr="00A37A64">
              <w:rPr>
                <w:rFonts w:eastAsia="Times New Roman"/>
                <w:sz w:val="24"/>
                <w:szCs w:val="24"/>
                <w:lang w:eastAsia="en-US"/>
              </w:rPr>
              <w:t>,000</w:t>
            </w:r>
          </w:p>
        </w:tc>
        <w:tc>
          <w:tcPr>
            <w:tcW w:w="1457" w:type="dxa"/>
            <w:vAlign w:val="center"/>
          </w:tcPr>
          <w:p w14:paraId="6796861F" w14:textId="77777777" w:rsidR="00A37A64" w:rsidRPr="00A37A64" w:rsidRDefault="00A37A64" w:rsidP="00A37A64">
            <w:pPr>
              <w:spacing w:before="120" w:after="120"/>
              <w:contextualSpacing/>
              <w:jc w:val="center"/>
              <w:rPr>
                <w:rFonts w:eastAsia="Times New Roman"/>
                <w:sz w:val="24"/>
                <w:szCs w:val="24"/>
                <w:lang w:eastAsia="en-US"/>
              </w:rPr>
            </w:pPr>
            <w:r w:rsidRPr="00A37A64">
              <w:rPr>
                <w:rFonts w:eastAsia="Times New Roman"/>
                <w:sz w:val="24"/>
                <w:szCs w:val="24"/>
                <w:lang w:eastAsia="en-US"/>
              </w:rPr>
              <w:t>Signifikan</w:t>
            </w:r>
          </w:p>
        </w:tc>
      </w:tr>
      <w:tr w:rsidR="00A37A64" w:rsidRPr="00A37A64" w14:paraId="11DE8E85" w14:textId="77777777" w:rsidTr="00A37A64">
        <w:trPr>
          <w:jc w:val="right"/>
        </w:trPr>
        <w:tc>
          <w:tcPr>
            <w:tcW w:w="3655" w:type="dxa"/>
            <w:vAlign w:val="center"/>
          </w:tcPr>
          <w:p w14:paraId="7E063AB4" w14:textId="77777777" w:rsidR="00A37A64" w:rsidRPr="00A37A64" w:rsidRDefault="00A37A64" w:rsidP="00A37A64">
            <w:pPr>
              <w:spacing w:before="120" w:after="120"/>
              <w:contextualSpacing/>
              <w:jc w:val="center"/>
              <w:rPr>
                <w:rFonts w:eastAsia="Times New Roman"/>
                <w:sz w:val="24"/>
                <w:szCs w:val="24"/>
                <w:lang w:eastAsia="en-US"/>
              </w:rPr>
            </w:pPr>
            <w:r w:rsidRPr="00A37A64">
              <w:rPr>
                <w:rFonts w:eastAsia="Times New Roman"/>
                <w:sz w:val="24"/>
                <w:szCs w:val="24"/>
                <w:lang w:eastAsia="en-US"/>
              </w:rPr>
              <w:t>PBL vs PBL &amp; TPACK (2-1)</w:t>
            </w:r>
          </w:p>
        </w:tc>
        <w:tc>
          <w:tcPr>
            <w:tcW w:w="1043" w:type="dxa"/>
            <w:vAlign w:val="center"/>
          </w:tcPr>
          <w:p w14:paraId="5006FD22" w14:textId="77777777" w:rsidR="00A37A64" w:rsidRPr="00A37A64" w:rsidRDefault="00A37A64" w:rsidP="00A37A64">
            <w:pPr>
              <w:spacing w:before="120" w:after="120"/>
              <w:contextualSpacing/>
              <w:jc w:val="center"/>
              <w:rPr>
                <w:rFonts w:eastAsia="Times New Roman"/>
                <w:sz w:val="24"/>
                <w:szCs w:val="24"/>
                <w:lang w:eastAsia="en-US"/>
              </w:rPr>
            </w:pPr>
            <w:r w:rsidRPr="00A37A64">
              <w:rPr>
                <w:rFonts w:eastAsia="Times New Roman"/>
                <w:sz w:val="24"/>
                <w:szCs w:val="24"/>
                <w:lang w:eastAsia="en-US"/>
              </w:rPr>
              <w:t>17,409</w:t>
            </w:r>
          </w:p>
        </w:tc>
        <w:tc>
          <w:tcPr>
            <w:tcW w:w="1233" w:type="dxa"/>
            <w:vAlign w:val="center"/>
          </w:tcPr>
          <w:p w14:paraId="3729D100" w14:textId="77777777" w:rsidR="00A37A64" w:rsidRPr="00A37A64" w:rsidRDefault="00A37A64" w:rsidP="00A37A64">
            <w:pPr>
              <w:spacing w:before="120" w:after="120"/>
              <w:contextualSpacing/>
              <w:jc w:val="center"/>
              <w:rPr>
                <w:rFonts w:eastAsia="Times New Roman"/>
                <w:sz w:val="24"/>
                <w:szCs w:val="24"/>
                <w:lang w:eastAsia="en-US"/>
              </w:rPr>
            </w:pPr>
            <w:r w:rsidRPr="00A37A64">
              <w:rPr>
                <w:rFonts w:eastAsia="Times New Roman"/>
                <w:sz w:val="24"/>
                <w:szCs w:val="24"/>
                <w:lang w:eastAsia="en-US"/>
              </w:rPr>
              <w:t>5,336</w:t>
            </w:r>
          </w:p>
        </w:tc>
        <w:tc>
          <w:tcPr>
            <w:tcW w:w="636" w:type="dxa"/>
            <w:vAlign w:val="center"/>
          </w:tcPr>
          <w:p w14:paraId="5A43CA0F" w14:textId="77777777" w:rsidR="00A37A64" w:rsidRPr="00A37A64" w:rsidRDefault="00A37A64" w:rsidP="00A37A64">
            <w:pPr>
              <w:spacing w:before="120" w:after="120"/>
              <w:contextualSpacing/>
              <w:jc w:val="center"/>
              <w:rPr>
                <w:rFonts w:eastAsia="Times New Roman"/>
                <w:sz w:val="24"/>
                <w:szCs w:val="24"/>
                <w:lang w:eastAsia="en-US"/>
              </w:rPr>
            </w:pPr>
            <w:r w:rsidRPr="00A37A64">
              <w:rPr>
                <w:rFonts w:eastAsia="Times New Roman"/>
                <w:sz w:val="24"/>
                <w:szCs w:val="24"/>
                <w:lang w:eastAsia="en-US"/>
              </w:rPr>
              <w:t>,001</w:t>
            </w:r>
          </w:p>
        </w:tc>
        <w:tc>
          <w:tcPr>
            <w:tcW w:w="983" w:type="dxa"/>
            <w:vAlign w:val="center"/>
          </w:tcPr>
          <w:p w14:paraId="75AB9237" w14:textId="77777777" w:rsidR="00A37A64" w:rsidRPr="00A37A64" w:rsidRDefault="00A37A64" w:rsidP="00A37A64">
            <w:pPr>
              <w:spacing w:before="120" w:after="120"/>
              <w:contextualSpacing/>
              <w:jc w:val="center"/>
              <w:rPr>
                <w:rFonts w:eastAsia="Times New Roman"/>
                <w:sz w:val="24"/>
                <w:szCs w:val="24"/>
                <w:lang w:eastAsia="en-US"/>
              </w:rPr>
            </w:pPr>
            <w:r w:rsidRPr="00A37A64">
              <w:rPr>
                <w:rFonts w:eastAsia="Times New Roman"/>
                <w:sz w:val="24"/>
                <w:szCs w:val="24"/>
                <w:lang w:eastAsia="en-US"/>
              </w:rPr>
              <w:t>,003</w:t>
            </w:r>
          </w:p>
        </w:tc>
        <w:tc>
          <w:tcPr>
            <w:tcW w:w="1457" w:type="dxa"/>
            <w:vAlign w:val="center"/>
          </w:tcPr>
          <w:p w14:paraId="52152FFB" w14:textId="77777777" w:rsidR="00A37A64" w:rsidRPr="00A37A64" w:rsidRDefault="00A37A64" w:rsidP="00A37A64">
            <w:pPr>
              <w:spacing w:before="120" w:after="120"/>
              <w:contextualSpacing/>
              <w:jc w:val="center"/>
              <w:rPr>
                <w:rFonts w:eastAsia="Times New Roman"/>
                <w:sz w:val="24"/>
                <w:szCs w:val="24"/>
                <w:lang w:eastAsia="en-US"/>
              </w:rPr>
            </w:pPr>
            <w:r w:rsidRPr="00A37A64">
              <w:rPr>
                <w:rFonts w:eastAsia="Times New Roman"/>
                <w:sz w:val="24"/>
                <w:szCs w:val="24"/>
                <w:lang w:eastAsia="en-US"/>
              </w:rPr>
              <w:t>Signifikan</w:t>
            </w:r>
          </w:p>
        </w:tc>
      </w:tr>
    </w:tbl>
    <w:p w14:paraId="1A702B07" w14:textId="284C1627" w:rsidR="00A37A64" w:rsidRPr="00A37A64" w:rsidRDefault="00A37A64" w:rsidP="00A37A64">
      <w:pPr>
        <w:spacing w:before="120" w:after="120" w:line="240" w:lineRule="auto"/>
        <w:jc w:val="both"/>
        <w:rPr>
          <w:rFonts w:ascii="Times New Roman" w:eastAsia="Times New Roman" w:hAnsi="Times New Roman" w:cs="Times New Roman"/>
          <w:sz w:val="24"/>
          <w:szCs w:val="24"/>
        </w:rPr>
      </w:pPr>
      <w:r w:rsidRPr="00A37A64">
        <w:rPr>
          <w:rFonts w:ascii="Times New Roman" w:eastAsia="Times New Roman" w:hAnsi="Times New Roman" w:cs="Times New Roman"/>
          <w:sz w:val="24"/>
          <w:szCs w:val="24"/>
        </w:rPr>
        <w:t>Based on table 6, it is shown that there is a significant difference in posttest values between the group that applied the PBL and TPACK methods and the group that applied the conventional model (p = 0.000) and between the group that applied PBL and TPACK and the group that applied PBL (p = 0.003). However, no significant differences were found between the group that applied PBL and the group that applied conventional (p = 1,000). This indicates that the use of the PBL model combined with TPACK is most effective in improving student learning outcomes.</w:t>
      </w:r>
    </w:p>
    <w:p w14:paraId="21FDE1BD" w14:textId="77777777" w:rsidR="00A37A64" w:rsidRPr="00A37A64" w:rsidRDefault="00A37A64" w:rsidP="00A37A64">
      <w:pPr>
        <w:spacing w:before="120" w:after="120" w:line="240" w:lineRule="auto"/>
        <w:jc w:val="both"/>
        <w:rPr>
          <w:rFonts w:ascii="Times New Roman" w:eastAsia="Times New Roman" w:hAnsi="Times New Roman" w:cs="Times New Roman"/>
          <w:sz w:val="24"/>
          <w:szCs w:val="24"/>
        </w:rPr>
      </w:pPr>
      <w:r w:rsidRPr="00A37A64">
        <w:rPr>
          <w:rFonts w:ascii="Times New Roman" w:eastAsia="Times New Roman" w:hAnsi="Times New Roman" w:cs="Times New Roman"/>
          <w:sz w:val="24"/>
          <w:szCs w:val="24"/>
        </w:rPr>
        <w:t xml:space="preserve">Based on the results of the study, the application of the PBL model integrated with TPACK in experimental group 1 was proven to be able to significantly increase the HOTS of students. This is evidenced by the average value posttest experimental group 1 which reached 90.45. This value was higher than that of the experimental group 2 of 81.36 and the control group of 75.91. This proves that the integration of technology in PBL plays an important role in helping students understand the material </w:t>
      </w:r>
      <w:r w:rsidRPr="00A37A64">
        <w:rPr>
          <w:rFonts w:ascii="Times New Roman" w:eastAsia="Times New Roman" w:hAnsi="Times New Roman" w:cs="Times New Roman"/>
          <w:sz w:val="24"/>
          <w:szCs w:val="24"/>
        </w:rPr>
        <w:fldChar w:fldCharType="begin" w:fldLock="1"/>
      </w:r>
      <w:r w:rsidRPr="00A37A64">
        <w:rPr>
          <w:rFonts w:ascii="Times New Roman" w:eastAsia="Times New Roman" w:hAnsi="Times New Roman" w:cs="Times New Roman"/>
          <w:sz w:val="24"/>
          <w:szCs w:val="24"/>
        </w:rPr>
        <w:instrText>ADDIN CSL_CITATION {"citationItems":[{"id":"ITEM-1","itemData":{"DOI":"10.1063/5.0112806","abstract":"Efforts to overcome the misconceptions of Newton's Laws with Problem Based Learning (PBL) have been carried out by many scientists. However, there are still many students who experience misconceptions about Newton's Laws to this day. For this reason, PBL is carried out by contextualizing the problem. This research uses mixed methods Concurrent Triangulation design. This study used a sample of two classes by applying PBL, equipped with contextual problems. Quantitative data were obtained through pre-test and post-test with the FCI instrument of 30 reasoned choice questions. Qualitative data were obtained through in-depth interviews after pre-test and post-test, as well as interpretation of the video results of student discussions. The results showed that there was a significant difference between the pre-test score and the post-test score. Reduction of student misconceptions on Newton's Laws before and after PBL learning with contextual problems is 69,28%, while the misconceptions that persist are 22,89%. Problem-based learning with contextual problems, is able to bring the daily life of students into the classroom, so as to be able to maximally reduce students' misconceptions about Newton's Laws. Thus, to reduce misconceptions about physics material such as Newton's Laws, it is recommended to use Problem based learning with contextual problems. © 2023 American Institute of Physics Inc.. All rights reserved.","author":[{"dropping-particle":"","family":"Suwasono","given":"P","non-dropping-particle":"","parse-names":false,"suffix":""},{"dropping-particle":"","family":"Pramono","given":"N A","non-dropping-particle":"","parse-names":false,"suffix":""},{"dropping-particle":"","family":"Handayanto","given":"S K","non-dropping-particle":"","parse-names":false,"suffix":""},{"dropping-particle":"","family":"Saniso","given":"E","non-dropping-particle":"","parse-names":false,"suffix":""}],"container-title":"AIP Conference Proceedings","id":"ITEM-1","issued":{"date-parts":[["2023"]]},"note":"Export Date: 25 December 2025; Cited By: 1","title":"Misconceptions Reduction of Newton's Laws Through Contextualization of Problems in PBL","type":"paper-conference","volume":"2569"},"uris":["http://www.mendeley.com/documents/?uuid=3175a55e-d093-405c-b5da-417d8ea937f9"]},{"id":"ITEM-2","itemData":{"abstract":"Policy documents have suggested that school science should represent real scientific and engineering practices and use of digital tools, in order to raise students’ low levels of interest and engagement in science learning. In this study, a quasi-experimental design was used to test the effect of Project-Based Learning (PBL) and use of digital tools on the engagement and learning of upper secondary students. The experimental group (n = 29) was taught using a PBL Newtonian mechanics teaching module, and the control group (n = 25) was taught using traditional teacher-delivered lessons and practical work. Students’ engagement was measured using an experience sample (ESM) instrument, and their achievement of learning outcomes was measured using a cognitive test. We found that the PBL teaching module, which emphasized collaboration, the use of scientific and engineering practices and use of digital tools, engaged students in learning and supported them in achieving learning outcomes better than traditional teaching. © 2022 Copyright for this paper by its authors. Use permitted under Creative Commons License Attribution 4.0 International (CC BY 4.0).","author":[{"dropping-particle":"","family":"Lavonen","given":"J","non-dropping-particle":"","parse-names":false,"suffix":""},{"dropping-particle":"","family":"Vera-Vasquez","given":"C G","non-dropping-particle":"","parse-names":false,"suffix":""},{"dropping-particle":"","family":"Inkinen","given":"J","non-dropping-particle":"","parse-names":false,"suffix":""},{"dropping-particle":"","family":"Juuti","given":"K","non-dropping-particle":"","parse-names":false,"suffix":""},{"dropping-particle":"","family":"Salmela-Aro","given":"K","non-dropping-particle":"","parse-names":false,"suffix":""},{"dropping-particle":"","family":"Villalba-Condori","given":"K","non-dropping-particle":"","parse-names":false,"suffix":""}],"container-title":"CEUR Workshop Proceedings","id":"ITEM-2","issued":{"date-parts":[["2023"]]},"note":"Export Date: 12 February 2026; Cited By: 2","page":"92-100","title":"Engaging Students in Secondary Science Learning through the Scientific and Engineering Practices and Use of Digital Tools","type":"paper-conference","volume":"3353"},"uris":["http://www.mendeley.com/documents/?uuid=589fb25f-6c00-4840-8adf-43aa2ef15467"]},{"id":"ITEM-3","itemData":{"DOI":"10.1088/1742-6596/3155/1/012027","abstract":"Virtual reality (VR) and augmented reality (AR) technologies are revolutionizing educational practices by delivering immersive and interactive learning environments. This paper investigates the implementation of VR and AR in educational contexts, with particular emphasis on physics education, examining their capacity to enhance student engagement, foster collaboration, and deepen comprehension of complex scientific concepts. These technologies enable virtual field trips, interactive simulations, and access to remote educational resources, thereby making learning more engaging and accessible to diverse student populations. VR creates fully immersive digital environments, while AR overlays digital information onto the real world, offering complementary approaches to experiential learning. Nevertheless, significant challenges persist, including substantial equipment costs, technical complications, and health-related concerns such as cybersickness in VR environments. Our empirical study involved a pedagogical experiment focusing on Newton's laws of motion with secondary school students, yielding mixed outcomes. The findings emphasize the critical importance of establishing a comprehensive didactic framework and addressing practical implementation barriers to fully realize the educational potential of VR and AR technologies. Despite initial challenges, both VR and AR demonstrate substantial promise for transforming learning experiences and merit continued investigation and methodological refinement.  © Published under licence by IOP Publishing Ltd.","author":[{"dropping-particle":"","family":"Masopust","given":"P","non-dropping-particle":"","parse-names":false,"suffix":""},{"dropping-particle":"","family":"Peterkova","given":"A M","non-dropping-particle":"","parse-names":false,"suffix":""},{"dropping-particle":"","family":"Vavrova","given":"A","non-dropping-particle":"","parse-names":false,"suffix":""},{"dropping-particle":"","family":"Smid","given":"L","non-dropping-particle":"","parse-names":false,"suffix":""},{"dropping-particle":"","family":"Silhanek","given":"D","non-dropping-particle":"","parse-names":false,"suffix":""},{"dropping-particle":"","family":"Randa","given":"M","non-dropping-particle":"","parse-names":false,"suffix":""}],"container-title":"Journal of Physics: Conference Series","id":"ITEM-3","issue":"1","issued":{"date-parts":[["2025"]]},"note":"Export Date: 12 February 2026; Cited By: 0","title":"Virtual and augmented reality in physics education: Opportunities, challenges, and didactic perspectives","type":"paper-conference","volume":"3155"},"uris":["http://www.mendeley.com/documents/?uuid=0d6de3fd-e8d4-41a7-ae9f-89f82443deec"]},{"id":"ITEM-4","itemData":{"abstract":"This paper presents a case study of gamification and PBL (Problem-Based Learning) integration as toolbox to enhance active learning and to promote problem-solving skills. Gamification can be defined as using game design techniques, game thinking, and game mechanics to improve non-game contexts, with the aim of increasing user interactivity. PBL is one of the learning techniques that use problems as a context for students to get into practice about critical thinking and to obtain knowledge from subject matter problems. An experience was carried out using Quality Tools gamification that was developed for undergraduate students of Mechanical Engineering. These experiences were developed using the teaching role in PBL to set problems, ask questions, and to facilitate students' comprehension. The integrated use of gamification and PBL might turn students into more independent learners, allowing selected learning strategies, and to become able to control the learning process and exploring their creativity. Some results based on student's perspective are showed in this paper. The results shown a comparison between different scenarios for traditional learning methods application and active learning, and the conclusions indicated the benefits of active learning comparing with traditional learning methods. However, it is possible to understand the importance of technology advancement and its significant influence on gamification and PBL integration. It's possible to conclude that the investigated strategy makes problem-based learning process more efficient. The results of this case study have shown that the use of several technologies supported by gamification can increase the chance of improving the learning process. © 2023 University of Minho. All rights reserved.","author":[{"dropping-particle":"","family":"Saut","given":"A M","non-dropping-particle":"","parse-names":false,"suffix":""},{"dropping-particle":"","family":"Vieira","given":"M","non-dropping-particle":"","parse-names":false,"suffix":""},{"dropping-particle":"","family":"Maestrelli","given":"N C","non-dropping-particle":"","parse-names":false,"suffix":""},{"dropping-particle":"","family":"Vicente","given":"S","non-dropping-particle":"","parse-names":false,"suffix":""}],"container-title":"International Symposium on Project Approaches in Engineering Education","id":"ITEM-4","issued":{"date-parts":[["2023"]]},"note":"Export Date: 12 February 2026; Cited By: 0","page":"223-229","title":"A case study of gamification and PBL integration as an active learning pathway","type":"paper-conference","volume":"13"},"uris":["http://www.mendeley.com/documents/?uuid=fbed4558-5224-4f5f-95fd-b576f2f289c9"]}],"mendeley":{"formattedCitation":"(Lavonen et al., 2023; Masopust et al., 2025; Saut et al., 2023; Suwasono et al., 2023)","manualFormatting":"(Lavonen et al., 2023)","plainTextFormattedCitation":"(Lavonen et al., 2023; Masopust et al., 2025; Saut et al., 2023; Suwasono et al., 2023)","previouslyFormattedCitation":"(Lavonen et al., 2023; Masopust et al., 2025; Saut et al., 2023; Suwasono et al., 2023)"},"properties":{"noteIndex":0},"schema":"https://github.com/citation-style-language/schema/raw/master/csl-citation.json"}</w:instrText>
      </w:r>
      <w:r w:rsidRPr="00A37A64">
        <w:rPr>
          <w:rFonts w:ascii="Times New Roman" w:eastAsia="Times New Roman" w:hAnsi="Times New Roman" w:cs="Times New Roman"/>
          <w:sz w:val="24"/>
          <w:szCs w:val="24"/>
        </w:rPr>
        <w:fldChar w:fldCharType="separate"/>
      </w:r>
      <w:r w:rsidRPr="00A37A64">
        <w:rPr>
          <w:rFonts w:ascii="Times New Roman" w:eastAsia="Times New Roman" w:hAnsi="Times New Roman" w:cs="Times New Roman"/>
          <w:sz w:val="24"/>
          <w:szCs w:val="24"/>
        </w:rPr>
        <w:t>(Lavonen et al., 2023)</w:t>
      </w:r>
      <w:r w:rsidRPr="00A37A64">
        <w:rPr>
          <w:rFonts w:ascii="Times New Roman" w:eastAsia="Times New Roman" w:hAnsi="Times New Roman" w:cs="Times New Roman"/>
          <w:sz w:val="24"/>
          <w:szCs w:val="24"/>
          <w:lang w:val="id-ID"/>
        </w:rPr>
        <w:fldChar w:fldCharType="end"/>
      </w:r>
      <w:r w:rsidRPr="00A37A64">
        <w:rPr>
          <w:rFonts w:ascii="Times New Roman" w:eastAsia="Times New Roman" w:hAnsi="Times New Roman" w:cs="Times New Roman"/>
          <w:sz w:val="24"/>
          <w:szCs w:val="24"/>
        </w:rPr>
        <w:t>.</w:t>
      </w:r>
    </w:p>
    <w:p w14:paraId="10AE6C1A" w14:textId="77777777" w:rsidR="00A37A64" w:rsidRPr="00A37A64" w:rsidRDefault="00A37A64" w:rsidP="00A37A64">
      <w:pPr>
        <w:spacing w:before="120" w:after="120" w:line="240" w:lineRule="auto"/>
        <w:jc w:val="both"/>
        <w:rPr>
          <w:rFonts w:ascii="Times New Roman" w:eastAsia="Times New Roman" w:hAnsi="Times New Roman" w:cs="Times New Roman"/>
          <w:sz w:val="24"/>
          <w:szCs w:val="24"/>
        </w:rPr>
      </w:pPr>
      <w:r w:rsidRPr="00A37A64">
        <w:rPr>
          <w:rFonts w:ascii="Times New Roman" w:eastAsia="Times New Roman" w:hAnsi="Times New Roman" w:cs="Times New Roman"/>
          <w:sz w:val="24"/>
          <w:szCs w:val="24"/>
        </w:rPr>
        <w:t xml:space="preserve">The effectiveness of this model is in line with constructivist theory which states that knowledge is not simply received, but is built through active experience in problem solving </w:t>
      </w:r>
      <w:r w:rsidRPr="00A37A64">
        <w:rPr>
          <w:rFonts w:ascii="Times New Roman" w:eastAsia="Times New Roman" w:hAnsi="Times New Roman" w:cs="Times New Roman"/>
          <w:sz w:val="24"/>
          <w:szCs w:val="24"/>
        </w:rPr>
        <w:fldChar w:fldCharType="begin" w:fldLock="1"/>
      </w:r>
      <w:r w:rsidRPr="00A37A64">
        <w:rPr>
          <w:rFonts w:ascii="Times New Roman" w:eastAsia="Times New Roman" w:hAnsi="Times New Roman" w:cs="Times New Roman"/>
          <w:sz w:val="24"/>
          <w:szCs w:val="24"/>
        </w:rPr>
        <w:instrText>ADDIN CSL_CITATION {"citationItems":[{"id":"ITEM-1","itemData":{"DOI":"10.1007/978-3-030-33600-4_21","abstract":"Problem-based learning (PBL) is an instructional method that reflects active learning and constructivist philosophy. It incorporates multiple instructional strategies to help students acquire and apply content knowledge and develop higher-order thinking, problem-solving, self-directed learning, and collaborative skills. These instructional strategies include problem-initiated/problem-driven instruction, real-life complex ill-structured problems, self-directed learning, and collaborative small group learning. PBL is also highly effective in cultivating students’ soft skills, such as collaboration, teamwork, professionalism, and workplace culture where traditional lecture-based instruction falls short. PBL is an effective pedagogy for preparing the next generation of scientists as well as promoting science literacy among general education students. With PBL, science is no longer a matter of memorizing scientific terms, definitions, formulae, and algorithms for solving abstract problems. Rather, PBL makes science part of everyday life. In this chapter, we discuss what PBL is, its characteristics, and how it facilitates science learning. We also examine the effects of PBL on science student learning outcomes and conclude with a list of recommendations for implementing PBL in college science courses. © Springer Nature Switzerland AG 2020.","author":[{"dropping-particle":"","family":"Hung","given":"W","non-dropping-particle":"","parse-names":false,"suffix":""},{"dropping-particle":"","family":"Amida","given":"A","non-dropping-particle":"","parse-names":false,"suffix":""}],"container-title":"Active Learning in College Science: The Case for Evidence-Based Practice","id":"ITEM-1","issued":{"date-parts":[["2020"]]},"note":"Export Date: 23 November 2025; Cited By: 18","page":"325-339","title":"Problem-Based Learning in College Science","type":"chapter"},"uris":["http://www.mendeley.com/documents/?uuid=7c6e5eb9-0110-4f17-a43d-e78af02b1af4"]},{"id":"ITEM-2","itemData":{"DOI":"10.4324/9781003443551-15","abstract":"Problem-Based Learning (PBL) is a collaborative, inquiry-based approach to learning that empowers the learner to take responsibility for acquiring new knowledge and applying that knowledge to solve complex real-world problems. The effectiveness of PBL stems from how learners activate prior knowledge when confronted with a problem; new knowledge is constructed and co-constructed individually and within the group, scaffolded by facilitators. Within the advisor training context, the facilitator can challenge the group to think about the problem from the context of each of The Global Community for Academic Advising (NACADA) core competencies to ensure they move beyond the informational component. PBL enhances advisor training by applying inquiry-based learning that promotes collaborative learning experiences through analysis of practical, real-world problems, empowering advisors to activate prior knowledge, identify gaps in comprehension, and synthesize new understandings. When creating PBL problems, it is important to keep the training goals at the center of the design. © 2022 Taylor &amp; Francis Group.","author":[{"dropping-particle":"","family":"Kraft-Terry","given":"S D","non-dropping-particle":"","parse-names":false,"suffix":""},{"dropping-particle":"","family":"Wiebe","given":"B","non-dropping-particle":"","parse-names":false,"suffix":""}],"container-title":"Comprehensive Advisor Training and Development: Practices That Deliver","id":"ITEM-2","issued":{"date-parts":[["2023"]]},"note":"Export Date: 12 February 2026; Cited By: 0","page":"146-161","title":"USING PROBLEM-BASED LEARNING FOR TRAINING AND DEVELOPMENT","type":"chapter"},"uris":["http://www.mendeley.com/documents/?uuid=4e02f42a-e165-4ae3-a709-16b8ff9512f9"]},{"id":"ITEM-3","itemData":{"DOI":"10.55890/2452-3011.1315","abstract":"Purpose: Problem-Based Learning (PBL) provides contextualized, real-life-like experiences that promote active learning, support the construction of knowledge, and integrate learning as well as integrating disciplines. Problem- Based Learning and Concept Mapping (CM) have parallel purposes as both are based on a constructivist view of learning. So, this study was designed to investigate the effect of using concept mapping on the students’ engagement and performance in the PBL tutorials. Methods: The study is a pre-posttest two groups Quasi-experimental. The sample was 415 first-year medical students divided into two groups (Group A and Group B). The instruments used for data collection were the University Student Engagement Inventory (USEI) and the student's performance in the PBL tutorials questionnaire to measure the students’ engagement and performance in the PBL tutorials before and after using Concept Mapping. Results: The results of the study revealed statistically significant differences in the overall student engagement between the study groups (mean overall scores 3.78 ± 0.59 and 3.97 ± 0.52) with higher scores for group B. The results were reversed after crossover (3.96 ± 0.56 and 3.82 ± 0.42) with higher scores for group A. Additionally, there were statistically significant differences in the overall student performance between the study groups (mean overall scores 4.59 ± 0.63 and 4.92 ± 0.62) with higher scores for group B. The results were reversed after crossover (4.90 ± 0.63 and 4.71 ± 0.56) with higher scores for group A. Also, the study found notable improvements in behavioral and cognitive engagement, as well as in group interaction, active participation, and reasoning skills (p-value&lt;0.05). Discussion: The study underscores the benefits of incorporating CM into the PBL tutorials, showing significant improvements in student engagement and performance. Conclusion: This study concludes that using concept mapping in problem-based learning led to statistically significant improvements in overall student engagement and performance, as well as in most specific domains. However, no statistically significant improvement was observed in the emotional domain of student engagement and the independent study domain of student performance. © (2025), (Association of Medical Education of the Eastern-Mediterranean Region). All rights reserved.","author":[{"dropping-particle":"","family":"Mesbah","given":"T","non-dropping-particle":"","parse-names":false,"suffix":""},{"dropping-particle":"","family":"Abouzeid","given":"E","non-dropping-particle":"","parse-names":false,"suffix":""},{"dropping-particle":"","family":"Hassan","given":"N","non-dropping-particle":"","parse-names":false,"suffix":""},{"dropping-particle":"","family":"Ghaly","given":"M","non-dropping-particle":"","parse-names":false,"suffix":""},{"dropping-particle":"","family":"Talaat","given":"W","non-dropping-particle":"","parse-names":false,"suffix":""}],"container-title":"Health Professions Education","id":"ITEM-3","issue":"1","issued":{"date-parts":[["2025"]]},"note":"Export Date: 12 February 2026; Cited By: 2","page":"27-35","title":"Mapping Change: The Effect of Using Concept Mapping on the Students’ Engagement and Performance in Problem-based Learning Tutorials","type":"article-journal","volume":"11"},"uris":["http://www.mendeley.com/documents/?uuid=b2214d81-75b0-4320-a166-9a9911481644"]}],"mendeley":{"formattedCitation":"(Hung &amp; Amida, 2020; Kraft-Terry &amp; Wiebe, 2023; Mesbah et al., 2025)","manualFormatting":"( Kraft-Terry &amp; Wiebe, 2023)","plainTextFormattedCitation":"(Hung &amp; Amida, 2020; Kraft-Terry &amp; Wiebe, 2023; Mesbah et al., 2025)","previouslyFormattedCitation":"(Hung &amp; Amida, 2020; Kraft-Terry &amp; Wiebe, 2023; Mesbah et al., 2025)"},"properties":{"noteIndex":0},"schema":"https://github.com/citation-style-language/schema/raw/master/csl-citation.json"}</w:instrText>
      </w:r>
      <w:r w:rsidRPr="00A37A64">
        <w:rPr>
          <w:rFonts w:ascii="Times New Roman" w:eastAsia="Times New Roman" w:hAnsi="Times New Roman" w:cs="Times New Roman"/>
          <w:sz w:val="24"/>
          <w:szCs w:val="24"/>
        </w:rPr>
        <w:fldChar w:fldCharType="separate"/>
      </w:r>
      <w:r w:rsidRPr="00A37A64">
        <w:rPr>
          <w:rFonts w:ascii="Times New Roman" w:eastAsia="Times New Roman" w:hAnsi="Times New Roman" w:cs="Times New Roman"/>
          <w:sz w:val="24"/>
          <w:szCs w:val="24"/>
        </w:rPr>
        <w:t>( Kraft-Terry &amp; Wiebe, 2023)</w:t>
      </w:r>
      <w:r w:rsidRPr="00A37A64">
        <w:rPr>
          <w:rFonts w:ascii="Times New Roman" w:eastAsia="Times New Roman" w:hAnsi="Times New Roman" w:cs="Times New Roman"/>
          <w:sz w:val="24"/>
          <w:szCs w:val="24"/>
          <w:lang w:val="id-ID"/>
        </w:rPr>
        <w:fldChar w:fldCharType="end"/>
      </w:r>
      <w:r w:rsidRPr="00A37A64">
        <w:rPr>
          <w:rFonts w:ascii="Times New Roman" w:eastAsia="Times New Roman" w:hAnsi="Times New Roman" w:cs="Times New Roman"/>
          <w:sz w:val="24"/>
          <w:szCs w:val="24"/>
        </w:rPr>
        <w:t xml:space="preserve">. In the context of PBL that is integrated with TPACK, the process of understanding students' concepts becomes more real with the help of digital devices such as PhET simulation and google sites. The use of this technology helps students visualize the material better, so that the learning process becomes more meaningful </w:t>
      </w:r>
      <w:r w:rsidRPr="00A37A64">
        <w:rPr>
          <w:rFonts w:ascii="Times New Roman" w:eastAsia="Times New Roman" w:hAnsi="Times New Roman" w:cs="Times New Roman"/>
          <w:sz w:val="24"/>
          <w:szCs w:val="24"/>
        </w:rPr>
        <w:fldChar w:fldCharType="begin" w:fldLock="1"/>
      </w:r>
      <w:r w:rsidRPr="00A37A64">
        <w:rPr>
          <w:rFonts w:ascii="Times New Roman" w:eastAsia="Times New Roman" w:hAnsi="Times New Roman" w:cs="Times New Roman"/>
          <w:sz w:val="24"/>
          <w:szCs w:val="24"/>
        </w:rPr>
        <w:instrText>ADDIN CSL_CITATION {"citationItems":[{"id":"ITEM-1","itemData":{"DOI":"10.29333/pr/15154","abstract":"Game-based learning has emerged as a promising approach to enhance students’ engagement and understanding in educational settings. This study investigates the effectiveness of integrating physics education technology (PhET) simulations as game-based learning tools in teaching physics concepts related tao equilibrium system. A quasi-experimental design was employed, comparing the performance of students exposed to PhET simulations (experimental group) with those taught through traditional methods (control group). Results indicate significant improvements in both understanding and motivation among students in the experimental group, particularly in solving complex physics problems. Furthermore, students perceived PhET simulations positively, emphasizing their value in enhancing learning experiences. The findings underscore the potential of game-based learning tools like PhET simulations in promoting active learning and conceptual understanding in physics education. Future research directions include exploring long-term effects, conducting comparative studies across diverse educational contexts, and investigating the impact on various learning outcomes to further validate the efficacy of game-based learning approaches. © 2024 by Author/s and Licensed by Modestum DOO, Serbia.","author":[{"dropping-particle":"","family":"Pranata","given":"O D","non-dropping-particle":"","parse-names":false,"suffix":""}],"container-title":"Pedagogical Research","id":"ITEM-1","issue":"4","issued":{"date-parts":[["2024"]]},"note":"Export Date: 12 February 2026; Cited By: 3","title":"Physics education technology (PhET) as a game-based learning tool: A quasi-experimental study","type":"article-journal","volume":"9"},"uris":["http://www.mendeley.com/documents/?uuid=7fba658a-cc94-499b-a29f-e7479d7bc5f3"]},{"id":"ITEM-2","itemData":{"DOI":"10.1007/s10956-022-10010-3","abstract":"The study investigated the impact of PhET simulation-based learning on students’ motivation and academic achievement in learning oscillations and waves among Malawian secondary students. The following research questions guided the study: (i) What were students’ motivation and academic achievement levels at the beginning of the study in oscillation and waves? (ii) To what levels do PhET interactive simulation-based learning impact students’ motivation and achievement in oscillations and waves? (iii) Is the change in post-test scores due to the students’ characteristics in non-randomized settings or the PhET interactive simulation-based learning? A sample of 280 (44.6% females) form three secondary school students with a mean age of 17.5 (SD = 1.424) from four schools in Blantyre urban district in Malawi was used in a quasi-experimental design of non-equivalent groups. The experimental group was exposed to PhET simulation-based learning, while the conventional teaching methods were used in the control group. Pre- and post-tests were used to collect data on academic achievement, and questionnaires collected data on motivation. Independent samples t-test showed a statistical difference between the two groups on post-test of the academic achievement. Results from linear regression indicated that the differences between the two groups in the post-test were not due to students’ characteristics but rather the intervention with p &lt; 0.01. The ANCOVA test on motivation constructs showed a significant difference with a small effect size between the study groups on self-efficacy, active learning strategies, performance goals, achievement goals, learning environment stimulation, and attitudes towards learning with computer learning. The results from the study suggest that PhET simulation-based learning improved the learning of oscillations and waves. PhET simulation-based learning provides visualizations and teaching aids that help easily understand content knowledge, hence improving students’ academic achievement and motivation levels. © 2022, The Author(s), under exclusive licence to Springer Nature B.V.","author":[{"dropping-particle":"","family":"Banda","given":"H J","non-dropping-particle":"","parse-names":false,"suffix":""},{"dropping-particle":"","family":"Nzabahimana","given":"J","non-dropping-particle":"","parse-names":false,"suffix":""}],"container-title":"Journal of Science Education and Technology","id":"ITEM-2","issue":"1","issued":{"date-parts":[["2023"]]},"note":"Export Date: 12 February 2026; Cited By: 48","page":"127-141","title":"The Impact of Physics Education Technology (PhET) Interactive Simulation-Based Learning on Motivation and Academic Achievement Among Malawian Physics Students","type":"article-journal","volume":"32"},"uris":["http://www.mendeley.com/documents/?uuid=3a025d8b-c12e-4e63-b359-16970373b7d8"]},{"id":"ITEM-3","itemData":{"DOI":"10.1007/s10956-024-10131-x","abstract":"This study employed a non-equivalent quasi-experimental pre-test/post-test control-group design to study the effect of the PhET simulation intervention on students’ engagement, satisfaction, and academic achievement in the learning of direct current electric circuit concepts among Bhutanese students. We analysed the pre- and post-test scores and perceptions of 57 ninth-grade students, divided into experimental group (EG, n = 29) and control group (CG, n = 28), from one high school in Paro District, Bhutan. The EG students were taught with the PhET simulation intervention, while the CG students were taught with the traditional chalk-talk method. The pre- and post-test scores were collected with the Electric Circuits Conceptual Evaluation (ECEE) inventory. Mean, standard deviation, a two-sample t-test, and multiple linear regression (MLR) were computed using R and RStudio. The t-test revealed a statistically significant difference in the mean post-test scores of CG and EG students. MLR analysis further confirmed that this difference was due to the PhET simulation intervention, ruling out the influence of other confounding variables. Additionally, an instrument called the PhET Engagement-Satisfaction Questionnaire was developed to assess EG students’ engagement level and satisfaction with the PhET simulation intervention. Confirmatory factor analysis and Cronbach’s alpha calculation confirmed its validity and reliability. Data from the PhET Engagement-Satisfaction Questionnaire unveiled significant impact of the PhET simulation intervention on students’ engagement level and their overall satisfaction, reinforcing prior research. However, further research with a larger sample size, incorporating lesson observations, interviews, and our measurement tool, is necessary to ascertain whether the findings it yields align with the present study’s findings. © The Author(s), under exclusive licence to Springer Nature B.V. 2024.","author":[{"dropping-particle":"","family":"Dorji","given":"T","non-dropping-particle":"","parse-names":false,"suffix":""},{"dropping-particle":"","family":"Subba","given":"S","non-dropping-particle":"","parse-names":false,"suffix":""},{"dropping-particle":"","family":"Zangmo","given":"T","non-dropping-particle":"","parse-names":false,"suffix":""}],"container-title":"Journal of Science Education and Technology","id":"ITEM-3","issue":"6","issued":{"date-parts":[["2024"]]},"note":"Export Date: 12 February 2026; Cited By: 6","page":"892-909","title":"De-mystifying the Influence of PhET Simulation on Engagement, Satisfaction, and Academic Achievement of Bhutanese Students in the Physics Classroom","type":"article-journal","volume":"33"},"uris":["http://www.mendeley.com/documents/?uuid=72985bb1-8865-4e14-93aa-2f8ee4a7fb85"]}],"mendeley":{"formattedCitation":"(Banda &amp; Nzabahimana, 2023; Dorji et al., 2024; Pranata, 2024)","manualFormatting":"(Banda &amp; Nzabahimana, 2023)","plainTextFormattedCitation":"(Banda &amp; Nzabahimana, 2023; Dorji et al., 2024; Pranata, 2024)","previouslyFormattedCitation":"(Banda &amp; Nzabahimana, 2023; Dorji et al., 2024; Pranata, 2024)"},"properties":{"noteIndex":0},"schema":"https://github.com/citation-style-language/schema/raw/master/csl-citation.json"}</w:instrText>
      </w:r>
      <w:r w:rsidRPr="00A37A64">
        <w:rPr>
          <w:rFonts w:ascii="Times New Roman" w:eastAsia="Times New Roman" w:hAnsi="Times New Roman" w:cs="Times New Roman"/>
          <w:sz w:val="24"/>
          <w:szCs w:val="24"/>
        </w:rPr>
        <w:fldChar w:fldCharType="separate"/>
      </w:r>
      <w:r w:rsidRPr="00A37A64">
        <w:rPr>
          <w:rFonts w:ascii="Times New Roman" w:eastAsia="Times New Roman" w:hAnsi="Times New Roman" w:cs="Times New Roman"/>
          <w:sz w:val="24"/>
          <w:szCs w:val="24"/>
        </w:rPr>
        <w:t xml:space="preserve">(Banda &amp; Nzabahimana, </w:t>
      </w:r>
      <w:r w:rsidRPr="00A37A64">
        <w:rPr>
          <w:rFonts w:ascii="Times New Roman" w:eastAsia="Times New Roman" w:hAnsi="Times New Roman" w:cs="Times New Roman"/>
          <w:sz w:val="24"/>
          <w:szCs w:val="24"/>
        </w:rPr>
        <w:lastRenderedPageBreak/>
        <w:t>2023)</w:t>
      </w:r>
      <w:r w:rsidRPr="00A37A64">
        <w:rPr>
          <w:rFonts w:ascii="Times New Roman" w:eastAsia="Times New Roman" w:hAnsi="Times New Roman" w:cs="Times New Roman"/>
          <w:sz w:val="24"/>
          <w:szCs w:val="24"/>
          <w:lang w:val="id-ID"/>
        </w:rPr>
        <w:fldChar w:fldCharType="end"/>
      </w:r>
      <w:r w:rsidRPr="00A37A64">
        <w:rPr>
          <w:rFonts w:ascii="Times New Roman" w:eastAsia="Times New Roman" w:hAnsi="Times New Roman" w:cs="Times New Roman"/>
          <w:sz w:val="24"/>
          <w:szCs w:val="24"/>
        </w:rPr>
        <w:t xml:space="preserve">. In line with this, these findings support the TPACK framework that the integration of technology, pedagogy, and content is capable of creating innovative learning models that go beyond conventional methods </w:t>
      </w:r>
      <w:r w:rsidRPr="00A37A64">
        <w:rPr>
          <w:rFonts w:ascii="Times New Roman" w:eastAsia="Times New Roman" w:hAnsi="Times New Roman" w:cs="Times New Roman"/>
          <w:sz w:val="24"/>
          <w:szCs w:val="24"/>
        </w:rPr>
        <w:fldChar w:fldCharType="begin" w:fldLock="1"/>
      </w:r>
      <w:r w:rsidRPr="00A37A64">
        <w:rPr>
          <w:rFonts w:ascii="Times New Roman" w:eastAsia="Times New Roman" w:hAnsi="Times New Roman" w:cs="Times New Roman"/>
          <w:sz w:val="24"/>
          <w:szCs w:val="24"/>
        </w:rPr>
        <w:instrText>ADDIN CSL_CITATION {"citationItems":[{"id":"ITEM-1","itemData":{"ISSN":"2798-4176","abstract":"The progress of the digital world is increasingly oriented to the presence of human resources who can understand science and technology. This study aims to describe the integration of the TPACK (Technological, Pedagogical, Content Knowledge) approach for elementary school teachers at the Sekolah Indonesia Kuala Lumpur (SIKL) in implementing education in the digital era. The method applied by the researcher to this report is a qualitative method. The collection of data sources comes from virtual interviews with SIKL and documentation of research journals that have the theme of integrating the TPACK approach to implementing education in the digital era. The results of this study explain that the integration of the TPACK approach is a learning framework for processing various new forms of learning that uses the combination of three important components including","author":[{"dropping-particle":"","family":"Hanik","given":"Elya Umi","non-dropping-particle":"","parse-names":false,"suffix":""},{"dropping-particle":"","family":"Puspitasari","given":"Dwiyanti","non-dropping-particle":"","parse-names":false,"suffix":""},{"dropping-particle":"","family":"Safitri","given":"Emilia","non-dropping-particle":"","parse-names":false,"suffix":""},{"dropping-particle":"","family":"Firdaus","given":"Hema Rizkyana","non-dropping-particle":"","parse-names":false,"suffix":""},{"dropping-particle":"","family":"Pratiwi","given":"Maurin","non-dropping-particle":"","parse-names":false,"suffix":""},{"dropping-particle":"","family":"Innayah","given":"Reza Nidaul","non-dropping-particle":"","parse-names":false,"suffix":""}],"container-title":"JEID: Journal of Educational Integration and Development","id":"ITEM-1","issue":"1","issued":{"date-parts":[["2022"]]},"page":"2022","title":"Integrasi Pendekatan TPACK (Technological, Pedagogical, Content Knowledge) Guru Sekolah Dasar SIKL dalam Melaksanakan Pembelajaran Era Digital","type":"article-journal","volume":"2"},"uris":["http://www.mendeley.com/documents/?uuid=0409cd83-bc1b-3809-9a9e-059bc81c91eb"]},{"id":"ITEM-2","itemData":{"DOI":"10.33828/sei.v35.i4.13","abstract":"The Technological, Pedagogical Content Knowledge (TPACK) model serves as a comprehensive conceptual framework that delineates the essential knowledge domains teachers must possess to effectively integrate technology within educational settings. By synthesizing technological knowledge, pedagogical knowledge, and content knowledge, TPACK empowers educators to create innovative, engaging, and meaningful learning experiences that cater to diverse student needs. Extensive research has indicated that teaching practices informed by the TPACK framework can significantly enhance student motivation, foster critical thinking skills, and improve overall academic performance. Moreover, the successful implementation of TPACK is contingent upon several critical factors, including ongoing professional development opportunities for educators, the availability of adequate technological resources, and the cultivation of a supportive school culture that encourages collaboration and experimentation. A recent paper presents, the results of a quantitative study conducted using the TPACK questionnaire. Data are collected utilizing the database of the Association of Physics Teachers of Georgia. Confirmatory factor analysis for the constructs’ reliability is conducted. The results of the factor analysis are grouped into four factors, which differ from those in other studies and are discussed below. Based on these findings, recommendations are provided for the improvement and integrating technology into physics teacher education. © 2024 International Council of Associations for Science Education (ICASE). All rights reserved.","author":[{"dropping-particle":"","family":"Mgeladze","given":"A","non-dropping-particle":"","parse-names":false,"suffix":""},{"dropping-particle":"","family":"Kapanadze","given":"M","non-dropping-particle":"","parse-names":false,"suffix":""},{"dropping-particle":"","family":"Chakhaia","given":"L","non-dropping-particle":"","parse-names":false,"suffix":""}],"container-title":"Science Education International","id":"ITEM-2","issue":"4","issued":{"date-parts":[["2024"]]},"note":"Export Date: 23 November 2025; Cited By: 2","page":"429-438","title":"From Measuring to Action: The Next Steps in Physics Teachers’ Technological Pedagogical Content Knowledge","type":"article-journal","volume":"35"},"uris":["http://www.mendeley.com/documents/?uuid=cc087671-4283-4392-9f6b-fcd5ce8cb7d0"]},{"id":"ITEM-3","itemData":{"DOI":"10.1109/LACLO54177.2021.00069","abstract":"The TPACK framework, which has been translated as Technological, Pedagogical and Content Knowledge is an essential theoretical reference model in initial training and teacher professional development programs for the integration of technology. This article seeks to reveal the keys, trends and recommendations of the incorporation of ICT in the teaching-learning process based on the findings of a systematic literature review on TPACK. This review has followed the PRISMA protocol with a default search equation. It is concluded that the TPACK framework is a valuable theoretical reference for the effectiveness of the integration of technology in the teaching-learning process and therefore, for its transformation and change. In addition, the training actions must place the teacher as a leading, active and participatory actor in decision-making for the integration of ICT. It is recommended to promote empirical research in various contexts and educational levels on ICT to establish the best training routes according to educational needs and characteristics.  © 2021 IEEE.","author":[{"dropping-particle":"","family":"Aleman-Saravia","given":"A C","non-dropping-particle":"","parse-names":false,"suffix":""},{"dropping-particle":"","family":"Deroncele-Acosta","given":"A","non-dropping-particle":"","parse-names":false,"suffix":""}],"container-title":"Proceedings - 2021 16th Latin American Conference on Learning Technologies, LACLO 2021","id":"ITEM-3","issued":{"date-parts":[["2021"]]},"note":"Export Date: 12 February 2026; Cited By: 23","page":"104-111","title":"Technology, Pedagogy and Content (TPACK framework): Systematic Literature Review","type":"paper-conference"},"uris":["http://www.mendeley.com/documents/?uuid=a04e1677-03df-44c3-a8ba-4e4b23c30720"]},{"id":"ITEM-4","itemData":{"DOI":"10.53894/ijirss.v6i4.2232","abstract":"This study aimed to explore the effects of employing the Technological Pedagogical Content Knowledge (TPACK) model integrated with the Teams Games Tournament (TGT) collaborative instructional approach in teaching the concept of histograms to eighth grade students. Additionally, the research sought to assess the students' satisfaction with this integrated method during the learning process. The participants in the stu dy comprised 44 eighth-grade students from a public school in Thailand. Three primary instruments used in this study are the learning management plan, a learning achievement test and a satisfaction questionnaire. The findings of the study indicate that th e integration of the TPACK model with TGT collaborative learning had a positive impact on the participants' comprehension and knowledge of histograms. The interactive and cooperative nature of TGT activities in addition to the integration of technological, pedagogical and content knowledge increased the learning outcomes of the students. Additionally, the participants expressed a high level of satisfaction with the integrated TPACK and TGT frameworks learning experiences. This suggests that the collaborative and technology-enhanced approach fostered a positive and engaging learning environment, facilitating a deeper understanding of the histogram con cept. These findings contribute to the existing body of knowledge on innovative instructional methods and provide valuable insights for educators seeking to enhance students' learning experiences in mathematics and other related subjects. © 2023 by the authors.","author":[{"dropping-particle":"","family":"Promwongsai","given":"A","non-dropping-particle":"","parse-names":false,"suffix":""},{"dropping-particle":"","family":"Poonputta","given":"A","non-dropping-particle":"","parse-names":false,"suffix":""}],"container-title":"International Journal of Innovative Research and Scientific Studies","id":"ITEM-4","issue":"4","issued":{"date-parts":[["2023"]]},"note":"Export Date: 12 February 2026; Cited By: 1","page":"1015-1022","title":"Investigating the effectiveness of TPACK and TGT in enhancing histogram learning achievement among eighth-grade students","type":"article-journal","volume":"6"},"uris":["http://www.mendeley.com/documents/?uuid=9185d526-1bdb-44dc-aa38-1e8601fe50a1"]}],"mendeley":{"formattedCitation":"(Aleman-Saravia &amp; Deroncele-Acosta, 2021; Hanik et al., 2022; Mgeladze et al., 2024; Promwongsai &amp; Poonputta, 2023)","manualFormatting":"(Promwongsai &amp; Poonputta, 2023)","plainTextFormattedCitation":"(Aleman-Saravia &amp; Deroncele-Acosta, 2021; Hanik et al., 2022; Mgeladze et al., 2024; Promwongsai &amp; Poonputta, 2023)","previouslyFormattedCitation":"(Aleman-Saravia &amp; Deroncele-Acosta, 2021; Hanik et al., 2022; Mgeladze et al., 2024; Promwongsai &amp; Poonputta, 2023)"},"properties":{"noteIndex":0},"schema":"https://github.com/citation-style-language/schema/raw/master/csl-citation.json"}</w:instrText>
      </w:r>
      <w:r w:rsidRPr="00A37A64">
        <w:rPr>
          <w:rFonts w:ascii="Times New Roman" w:eastAsia="Times New Roman" w:hAnsi="Times New Roman" w:cs="Times New Roman"/>
          <w:sz w:val="24"/>
          <w:szCs w:val="24"/>
        </w:rPr>
        <w:fldChar w:fldCharType="separate"/>
      </w:r>
      <w:r w:rsidRPr="00A37A64">
        <w:rPr>
          <w:rFonts w:ascii="Times New Roman" w:eastAsia="Times New Roman" w:hAnsi="Times New Roman" w:cs="Times New Roman"/>
          <w:sz w:val="24"/>
          <w:szCs w:val="24"/>
        </w:rPr>
        <w:t>(Promwongsai &amp; Poonputta, 2023)</w:t>
      </w:r>
      <w:r w:rsidRPr="00A37A64">
        <w:rPr>
          <w:rFonts w:ascii="Times New Roman" w:eastAsia="Times New Roman" w:hAnsi="Times New Roman" w:cs="Times New Roman"/>
          <w:sz w:val="24"/>
          <w:szCs w:val="24"/>
          <w:lang w:val="id-ID"/>
        </w:rPr>
        <w:fldChar w:fldCharType="end"/>
      </w:r>
      <w:r w:rsidRPr="00A37A64">
        <w:rPr>
          <w:rFonts w:ascii="Times New Roman" w:eastAsia="Times New Roman" w:hAnsi="Times New Roman" w:cs="Times New Roman"/>
          <w:sz w:val="24"/>
          <w:szCs w:val="24"/>
        </w:rPr>
        <w:t xml:space="preserve">. This integration is clearly seen in the evaluating indicator, which recorded the highest score of 55.00 in experimental group 1. This achievement reinforces Anderson and Krathwohl's theory that the ability to evaluate demands the skills of examining and criticizing in depth </w:t>
      </w:r>
    </w:p>
    <w:p w14:paraId="5B507E11" w14:textId="77777777" w:rsidR="00A37A64" w:rsidRPr="00A37A64" w:rsidRDefault="00A37A64" w:rsidP="00A37A64">
      <w:pPr>
        <w:spacing w:before="120" w:after="120" w:line="240" w:lineRule="auto"/>
        <w:jc w:val="both"/>
        <w:rPr>
          <w:rFonts w:ascii="Times New Roman" w:eastAsia="Times New Roman" w:hAnsi="Times New Roman" w:cs="Times New Roman"/>
          <w:sz w:val="24"/>
          <w:szCs w:val="24"/>
        </w:rPr>
      </w:pPr>
      <w:r w:rsidRPr="00A37A64">
        <w:rPr>
          <w:rFonts w:ascii="Times New Roman" w:eastAsia="Times New Roman" w:hAnsi="Times New Roman" w:cs="Times New Roman"/>
          <w:sz w:val="24"/>
          <w:szCs w:val="24"/>
        </w:rPr>
        <w:t xml:space="preserve">The improvement in evaluation ability also penetrated into the creation indicator, where experimental group 1 achieved a score of 17.73, better than the control group which only reached 12.27. This ability at the C6 level is seen when students formulate strategies to achieve certain accelerations or design free-body diagrams accurately. This proves that TPACK integration helps students to think more critically and innovatively </w:t>
      </w:r>
      <w:r w:rsidRPr="00A37A64">
        <w:rPr>
          <w:rFonts w:ascii="Times New Roman" w:eastAsia="Times New Roman" w:hAnsi="Times New Roman" w:cs="Times New Roman"/>
          <w:sz w:val="24"/>
          <w:szCs w:val="24"/>
        </w:rPr>
        <w:fldChar w:fldCharType="begin" w:fldLock="1"/>
      </w:r>
      <w:r w:rsidRPr="00A37A64">
        <w:rPr>
          <w:rFonts w:ascii="Times New Roman" w:eastAsia="Times New Roman" w:hAnsi="Times New Roman" w:cs="Times New Roman"/>
          <w:sz w:val="24"/>
          <w:szCs w:val="24"/>
        </w:rPr>
        <w:instrText>ADDIN CSL_CITATION {"citationItems":[{"id":"ITEM-1","itemData":{"DOI":"10.33828/sei.v35.i4.13","abstract":"The Technological, Pedagogical Content Knowledge (TPACK) model serves as a comprehensive conceptual framework that delineates the essential knowledge domains teachers must possess to effectively integrate technology within educational settings. By synthesizing technological knowledge, pedagogical knowledge, and content knowledge, TPACK empowers educators to create innovative, engaging, and meaningful learning experiences that cater to diverse student needs. Extensive research has indicated that teaching practices informed by the TPACK framework can significantly enhance student motivation, foster critical thinking skills, and improve overall academic performance. Moreover, the successful implementation of TPACK is contingent upon several critical factors, including ongoing professional development opportunities for educators, the availability of adequate technological resources, and the cultivation of a supportive school culture that encourages collaboration and experimentation. A recent paper presents, the results of a quantitative study conducted using the TPACK questionnaire. Data are collected utilizing the database of the Association of Physics Teachers of Georgia. Confirmatory factor analysis for the constructs’ reliability is conducted. The results of the factor analysis are grouped into four factors, which differ from those in other studies and are discussed below. Based on these findings, recommendations are provided for the improvement and integrating technology into physics teacher education. © 2024 International Council of Associations for Science Education (ICASE). All rights reserved.","author":[{"dropping-particle":"","family":"Mgeladze","given":"A","non-dropping-particle":"","parse-names":false,"suffix":""},{"dropping-particle":"","family":"Kapanadze","given":"M","non-dropping-particle":"","parse-names":false,"suffix":""},{"dropping-particle":"","family":"Chakhaia","given":"L","non-dropping-particle":"","parse-names":false,"suffix":""}],"container-title":"Science Education International","id":"ITEM-1","issue":"4","issued":{"date-parts":[["2024"]]},"note":"Export Date: 23 November 2025; Cited By: 2","page":"429-438","title":"From Measuring to Action: The Next Steps in Physics Teachers’ Technological Pedagogical Content Knowledge","type":"article-journal","volume":"35"},"uris":["http://www.mendeley.com/documents/?uuid=cc087671-4283-4392-9f6b-fcd5ce8cb7d0"]},{"id":"ITEM-2","itemData":{"DOI":"10.1088/1742-6596/3148/1/012004","abstract":"The Technological, Pedagogical, and Content Knowledge (TPACK) framework has emerged as an essential construct for equipping future educators to navigate the intricacies of 21st-century instructional environments. This investigation articulates how the integration of TPACK by prospective mathematics educators supports the development of learners' critical thinking. A qualitative descriptive design was adopted, involving the collection of observational data recorded during microteaching episodes and complementary video capture arranged within the Assessment of Mathematics Learning course. Observers documented evidence using Iield notes and a predeIined structured protocol emphasizing the interplay of technological, pedagogical, and content domains, along with prospective teachers' speciIic tactics for fostering analytical reasoning. Systematic analysis disclosed that a predominant proportion of participants capably intertwined the three TPACK domains throughout the preparation and enactment of instructional episodes oriented towards the cultivation of critical thinking, albeit with discernible disparity regarding the comparative efIicacy of the pedagogical stratagems employed. Collectively, the results illuminate the degree to which future mathematics teachers are prepared to orchestrate learning experiences that effectively harmonize TPACK in the pursuit of advancing learners' critical interpretive capacities.  © Published under licence by IOP Publishing Ltd.","author":[{"dropping-particle":"","family":"Sa'dijah","given":"C","non-dropping-particle":"","parse-names":false,"suffix":""},{"dropping-particle":"","family":"Anwar","given":"L","non-dropping-particle":"","parse-names":false,"suffix":""},{"dropping-particle":"","family":"Utami","given":"A D","non-dropping-particle":"","parse-names":false,"suffix":""},{"dropping-particle":"","family":"Dwi Cahyowati","given":"E T","non-dropping-particle":"","parse-names":false,"suffix":""},{"dropping-particle":"","family":"Sulaiman","given":"T","non-dropping-particle":"","parse-names":false,"suffix":""},{"dropping-particle":"","family":"Laily Rahmawati","given":"A N","non-dropping-particle":"","parse-names":false,"suffix":""},{"dropping-particle":"","family":"Fitri","given":"A","non-dropping-particle":"","parse-names":false,"suffix":""}],"container-title":"Journal of Physics: Conference Series","id":"ITEM-2","issue":"1","issued":{"date-parts":[["2025"]]},"note":"Export Date: 12 February 2026; Cited By: 0","title":"Integration of Technological Pedagogical and Content Knowledge in the Mathematics Learning Assessment Course: Strategies to Encourage Critical Thinking and Prepare Prospective Teachers to Face 21st-Century Challenges","type":"paper-conference","volume":"3148"},"uris":["http://www.mendeley.com/documents/?uuid=eba9a647-5258-447d-9b2c-73a1812858d4"]}],"mendeley":{"formattedCitation":"(Mgeladze et al., 2024; Sa’dijah et al., 2025)","manualFormatting":"(Mgeladze et al., 2024)","plainTextFormattedCitation":"(Mgeladze et al., 2024; Sa’dijah et al., 2025)","previouslyFormattedCitation":"(Mgeladze et al., 2024; Sa’dijah et al., 2025)"},"properties":{"noteIndex":0},"schema":"https://github.com/citation-style-language/schema/raw/master/csl-citation.json"}</w:instrText>
      </w:r>
      <w:r w:rsidRPr="00A37A64">
        <w:rPr>
          <w:rFonts w:ascii="Times New Roman" w:eastAsia="Times New Roman" w:hAnsi="Times New Roman" w:cs="Times New Roman"/>
          <w:sz w:val="24"/>
          <w:szCs w:val="24"/>
        </w:rPr>
        <w:fldChar w:fldCharType="separate"/>
      </w:r>
      <w:r w:rsidRPr="00A37A64">
        <w:rPr>
          <w:rFonts w:ascii="Times New Roman" w:eastAsia="Times New Roman" w:hAnsi="Times New Roman" w:cs="Times New Roman"/>
          <w:sz w:val="24"/>
          <w:szCs w:val="24"/>
        </w:rPr>
        <w:t>(Mgeladze et al., 2024)</w:t>
      </w:r>
      <w:r w:rsidRPr="00A37A64">
        <w:rPr>
          <w:rFonts w:ascii="Times New Roman" w:eastAsia="Times New Roman" w:hAnsi="Times New Roman" w:cs="Times New Roman"/>
          <w:sz w:val="24"/>
          <w:szCs w:val="24"/>
          <w:lang w:val="id-ID"/>
        </w:rPr>
        <w:fldChar w:fldCharType="end"/>
      </w:r>
      <w:r w:rsidRPr="00A37A64">
        <w:rPr>
          <w:rFonts w:ascii="Times New Roman" w:eastAsia="Times New Roman" w:hAnsi="Times New Roman" w:cs="Times New Roman"/>
          <w:sz w:val="24"/>
          <w:szCs w:val="24"/>
        </w:rPr>
        <w:t xml:space="preserve">. These findings are in line with research </w:t>
      </w:r>
      <w:r w:rsidRPr="00A37A64">
        <w:rPr>
          <w:rFonts w:ascii="Times New Roman" w:eastAsia="Times New Roman" w:hAnsi="Times New Roman" w:cs="Times New Roman"/>
          <w:sz w:val="24"/>
          <w:szCs w:val="24"/>
        </w:rPr>
        <w:fldChar w:fldCharType="begin" w:fldLock="1"/>
      </w:r>
      <w:r w:rsidRPr="00A37A64">
        <w:rPr>
          <w:rFonts w:ascii="Times New Roman" w:eastAsia="Times New Roman" w:hAnsi="Times New Roman" w:cs="Times New Roman"/>
          <w:sz w:val="24"/>
          <w:szCs w:val="24"/>
        </w:rPr>
        <w:instrText>ADDIN CSL_CITATION {"citationItems":[{"id":"ITEM-1","itemData":{"author":[{"dropping-particle":"","family":"Puspita","given":"Chabelita","non-dropping-particle":"","parse-names":false,"suffix":""}],"container-title":"Jurnal Pendidikan Sosial Dan Konseling","id":"ITEM-1","issue":"1","issued":{"date-parts":[["2024"]]},"number-of-pages":"45-52","title":"Penerapan Model PBL Kombinasi Pendekatan TPACK Media Interaktif Meningkatkan Keterampilan Memecahkan Masalah Serta Hasil Belajar","type":"report","volume":"2"},"uris":["http://www.mendeley.com/documents/?uuid=99fded84-5036-381d-aaab-77c43c7a81cb"]},{"id":"ITEM-2","itemData":{"DOI":"10.3389/feduc.2025.1625105","abstract":"This study examines how integrating problem-based learning (PBL) with computational thinking (CT) contributes to cultivating creative thinking in senior primary school students (grades 5–6). Creativity is a critical skill for addressing complex, real-world problems, yet its development in education remains challenging. A four-week “Unmanned Supermarket” project was designed, incorporating CT skills such as problem decomposition, pattern recognition, and algorithm design. This study employed a creative thinking test tool based on Guilford’s “Structure of Intellect” model and Torrance’s “Creative Thinking Test,” contextualized for the “Unmanned Supermarket” project to ensure content relevance. Data collection involved standardized paper-based tests conducted in a classroom environment, with pre-tests and post-tests administered 1 week before and after the intervention. Data analysis included descriptive statistics, normality tests, and the Wilcoxon signed-rank test, which is appropriate for small samples with non-normal distributions. Results showed significant improvements across all five dimensions of creative thinking and the total score (p &lt; 0.05). The most substantial gains were observed in originality and elaboration (Z = −3.547, p &lt; 0.001; Z = −3.546, p &lt; 0.001). Importantly, all students demonstrated higher post-test total scores compared to pre-test scores, indicating consistent overall progress. These findings demonstrate how PBL, supported by CT, can enhance specific dimensions of creativity by encouraging innovative problem-solving and iterative design. This study provides insights into designing educational interventions that promote creativity through CT and PBL integration. Copyright © 2025 Ji and Wong.","author":[{"dropping-particle":"","family":"Ji","given":"W","non-dropping-particle":"","parse-names":false,"suffix":""},{"dropping-particle":"","family":"Wong","given":"G K W","non-dropping-particle":"","parse-names":false,"suffix":""}],"container-title":"Frontiers in Education","id":"ITEM-2","issued":{"date-parts":[["2025"]]},"note":"Export Date: 12 February 2026; Cited By: 0","title":"Integrating problem-based learning and computational thinking: cultivating creative thinking in primary education","type":"article-journal","volume":"10"},"uris":["http://www.mendeley.com/documents/?uuid=daf9b636-c928-4676-8964-de1a09c03141"]},{"id":"ITEM-3","itemData":{"DOI":"10.3390/app152312422","abstract":"The integration of project-based learning (PBL) in primary education has proven effective in fostering students’ critical thinking, creativity, collaboration, and problem-solving abilities. When implemented through eLearning platforms, PBL can be enhanced by digital environments that combine pedagogical and technological characteristics supporting interactive learning, personalization, and continuous formative assessment. This study aimed to evaluate the pedagogical-technological characteristics of e-learning platforms relevant to the implementation of PBL in Lithuanian primary education. A multi-stage Delphi study was conducted involving 22 primary school teachers experienced in applying educational technologies and project-based learning. In the initial stages, the research team developed and validated a PBL-oriented evaluation instrument, followed by an expert-based selection and in-depth assessment of eight e-learning platforms available for Lithuanian educational practice. The findings revealed substantial differences in how platforms support the main phases of the PBL process. The highest evaluations were given to LearnLab and SMART Lumio, which demonstrate a balanced integration of pedagogical and technological characteristics aligned with PBL logic, whereas content-oriented platforms such as Moodle showed limited adaptability. The final Delphi round generated expert-informed recommendations for enhancing platform design and pedagogical functionality. The study contributes to the understanding of how e-learning platforms can operationalize project-based learning principles and provides an empirically grounded framework for improving technology-enhanced PBL in primary education. © 2025 by the authors.","author":[{"dropping-particle":"","family":"Baziukė","given":"D","non-dropping-particle":"","parse-names":false,"suffix":""},{"dropping-particle":"","family":"Rupšienė","given":"I","non-dropping-particle":"","parse-names":false,"suffix":""},{"dropping-particle":"","family":"Kesylė","given":"K","non-dropping-particle":"","parse-names":false,"suffix":""},{"dropping-particle":"","family":"Norvilienė","given":"A","non-dropping-particle":"","parse-names":false,"suffix":""}],"container-title":"Applied Sciences (Switzerland)","id":"ITEM-3","issue":"23","issued":{"date-parts":[["2025"]]},"note":"Export Date: 12 February 2026; Cited By: 0","title":"How e-Learning Platforms Are Addressing Project-Based Learning: An Assessment of Digital Learning Tools in Primary Education","type":"article-journal","volume":"15"},"uris":["http://www.mendeley.com/documents/?uuid=8707eacc-8762-47a0-bb25-958127a95aa6"]},{"id":"ITEM-4","itemData":{"DOI":"10.28991/ESJ-2024-SIED1-021","abstract":"This study investigates the integration of social media platforms, specifically YouTube and TikTok, as educational tools in Project-Based Learning (PBL) within chemical engineering courses, with a particularly focus on Unit Operations. The research involved seventy-eight students from the Universidad Técnica Particular de Loja across two consecutive semesters (April-August 2022 and October 2022-February 2023). Students were tasked with creating educational videos to communicate complex engineering concepts. YouTube was utilized for longer, detailed explanations, while TikTok was employed for short, engaging content. The results demonstrate the effectiveness of this method in enhancing student engagement and comprehension of both theoretical and practical concepts. Instructors observed substantial improvements in student creativity and digital literacy. Quantitative data, such as average course scores, and qualitative feedback from instructors highlight both the strengths and challenges of leveraging social media as a learning tool. A project evaluation rubric was developed to assess performance across several dimensions, including content mastery, practical application, creativity, and engagement. The study concludes that the combination of PBL with social media platforms creates a dynamic, interactive learning environment that cultivates essential skills for future engineers. However, it also identifies areas for refinement, particularly in terms of effective communication through digital media formats. © 2024 by the authors.","author":[{"dropping-particle":"","family":"Guaya","given":"D E","non-dropping-particle":"","parse-names":false,"suffix":""},{"dropping-particle":"V","family":"Jaramillo-Fierro","given":"X","non-dropping-particle":"","parse-names":false,"suffix":""},{"dropping-particle":"","family":"Meneses","given":"M A","non-dropping-particle":"","parse-names":false,"suffix":""},{"dropping-particle":"","family":"Valarezo","given":"E","non-dropping-particle":"","parse-names":false,"suffix":""}],"container-title":"Emerging Science Journal","id":"ITEM-4","issue":"Special issue","issued":{"date-parts":[["2024"]]},"note":"Export Date: 12 February 2026; Cited By: 5","page":"358-378","title":"Innovative Chemical Engineering Education: Social Media-Enhanced Project-Based Learning Approaches","type":"article-journal","volume":"8"},"uris":["http://www.mendeley.com/documents/?uuid=d62031c3-6207-4000-a65a-91bf40b3c0d6"]}],"mendeley":{"formattedCitation":"(Baziukė et al., 2025; Guaya et al., 2024; Ji &amp; Wong, 2025; Puspita, 2024)","manualFormatting":"(Baziukė et al., 2025)","plainTextFormattedCitation":"(Baziukė et al., 2025; Guaya et al., 2024; Ji &amp; Wong, 2025; Puspita, 2024)","previouslyFormattedCitation":"(Baziukė et al., 2025; Guaya et al., 2024; Ji &amp; Wong, 2025; Puspita, 2024)"},"properties":{"noteIndex":0},"schema":"https://github.com/citation-style-language/schema/raw/master/csl-citation.json"}</w:instrText>
      </w:r>
      <w:r w:rsidRPr="00A37A64">
        <w:rPr>
          <w:rFonts w:ascii="Times New Roman" w:eastAsia="Times New Roman" w:hAnsi="Times New Roman" w:cs="Times New Roman"/>
          <w:sz w:val="24"/>
          <w:szCs w:val="24"/>
        </w:rPr>
        <w:fldChar w:fldCharType="separate"/>
      </w:r>
      <w:r w:rsidRPr="00A37A64">
        <w:rPr>
          <w:rFonts w:ascii="Times New Roman" w:eastAsia="Times New Roman" w:hAnsi="Times New Roman" w:cs="Times New Roman"/>
          <w:sz w:val="24"/>
          <w:szCs w:val="24"/>
        </w:rPr>
        <w:t>(Baziukė et al., 2025)</w:t>
      </w:r>
      <w:r w:rsidRPr="00A37A64">
        <w:rPr>
          <w:rFonts w:ascii="Times New Roman" w:eastAsia="Times New Roman" w:hAnsi="Times New Roman" w:cs="Times New Roman"/>
          <w:sz w:val="24"/>
          <w:szCs w:val="24"/>
          <w:lang w:val="id-ID"/>
        </w:rPr>
        <w:fldChar w:fldCharType="end"/>
      </w:r>
      <w:r w:rsidRPr="00A37A64">
        <w:rPr>
          <w:rFonts w:ascii="Times New Roman" w:eastAsia="Times New Roman" w:hAnsi="Times New Roman" w:cs="Times New Roman"/>
          <w:sz w:val="24"/>
          <w:szCs w:val="24"/>
        </w:rPr>
        <w:t xml:space="preserve"> which states that the combination of PBL with interactive media is able to hone complex problem-solving skills that demand creative thinking.</w:t>
      </w:r>
    </w:p>
    <w:p w14:paraId="5B8675AA" w14:textId="77777777" w:rsidR="00A37A64" w:rsidRPr="00A37A64" w:rsidRDefault="00A37A64" w:rsidP="00A37A64">
      <w:pPr>
        <w:spacing w:before="120" w:after="120" w:line="240" w:lineRule="auto"/>
        <w:jc w:val="both"/>
        <w:rPr>
          <w:rFonts w:ascii="Times New Roman" w:eastAsia="Times New Roman" w:hAnsi="Times New Roman" w:cs="Times New Roman"/>
          <w:sz w:val="24"/>
          <w:szCs w:val="24"/>
        </w:rPr>
      </w:pPr>
      <w:r w:rsidRPr="00A37A64">
        <w:rPr>
          <w:rFonts w:ascii="Times New Roman" w:eastAsia="Times New Roman" w:hAnsi="Times New Roman" w:cs="Times New Roman"/>
          <w:sz w:val="24"/>
          <w:szCs w:val="24"/>
        </w:rPr>
        <w:t xml:space="preserve">The results of the Kruskal Wallis statistical test strengthened the findings of the study with a significance value of 0.000, which means that there is a significant difference between groups. The Highest Mean Rank in experimental group 1 (45.82) showed that the PBL model integrated with TPACK provided better and consistent learning outcomes than other models. These results reinforce the research </w:t>
      </w:r>
      <w:r w:rsidRPr="00A37A64">
        <w:rPr>
          <w:rFonts w:ascii="Times New Roman" w:eastAsia="Times New Roman" w:hAnsi="Times New Roman" w:cs="Times New Roman"/>
          <w:sz w:val="24"/>
          <w:szCs w:val="24"/>
        </w:rPr>
        <w:fldChar w:fldCharType="begin" w:fldLock="1"/>
      </w:r>
      <w:r w:rsidRPr="00A37A64">
        <w:rPr>
          <w:rFonts w:ascii="Times New Roman" w:eastAsia="Times New Roman" w:hAnsi="Times New Roman" w:cs="Times New Roman"/>
          <w:sz w:val="24"/>
          <w:szCs w:val="24"/>
        </w:rPr>
        <w:instrText>ADDIN CSL_CITATION {"citationItems":[{"id":"ITEM-1","itemData":{"DOI":"10.62383/algoritma.v2i6.273","ISSN":"3046-5427","abstract":"&lt;p&gt;This study aims to determine the significant effect of the Problem Based Learning (PBL) based on the Magnet TPACK of SD Negeri 01 Munggur. This research uses a qualitative type of research based on the philosophy of polytheism. The population and sample used for the research were 28 students of class IV of SD Negeri 01 Munggur. The technique used in selecting the sample was purposive sampling. This research utilizes the One-Group Pretest-Posttest Design. In this design, before the treatment is given, a pre-test (alwall test) is given before the treatment is given and after the treatment is given, a post-test (final test) is given. Data collection techniques using observation, tests and documentation. Based on the results of the study, the conclusion is that there is a significant use of the Problem Balsed Lealing model of learning based on TPACK in class IV of SD N 01 Munggur. The effect of the PBL learning model based on TPACK on the learning outcomes of IPALS in class IV before the treatment was given, the maximum score was 90, while the minimum score was 45. The mean score was 63.92, the median was 62.5. Data analysis results using palired salmpel t-tes it is known that the mean value it is known that the mean pretest value of students 57,6 while the mean posttest for students was 63.92. The results of the statistical test with the crossed sample t-test recognize the effect of the Problem Balsed Learning (PBL) model based on TPACK Regarding the learning outcomes of grade IV students in the subject of science at SD Negeri 01 Munggur, it was found that based on the paired sample t-test table, the significant value (2 tallies) 0.000 &amp;lt;0.05 indicated that there was a difference between the initial and final variables(pretest &amp;amp; posttest), this proves that there is a significant effect on the difference in the need for calcualn given for the variable. &lt;/p&gt;","author":[{"dropping-particle":"","family":"Praviesta","given":"Adella","non-dropping-particle":"","parse-names":false,"suffix":""},{"dropping-particle":"","family":"Handini","given":"Oktiana","non-dropping-particle":"","parse-names":false,"suffix":""},{"dropping-particle":"","family":"Mustofa","given":"Mukhlis","non-dropping-particle":"","parse-names":false,"suffix":""}],"container-title":"Algoritma : Jurnal Matematika, Ilmu pengetahuan Alam, Kebumian dan Angkasa","id":"ITEM-1","issue":"6","issued":{"date-parts":[["2024","10","17"]]},"page":"20-33","title":"Pengaruh Model Pembelajaran Problem Based Learning (PBL) Berbasis TPACK terhadap Hasil Belajar Peserta Didik Kelas IV pada Mata Pelajaran IPAS SD Negeri 01 Munggur","type":"article-journal","volume":"2"},"uris":["http://www.mendeley.com/documents/?uuid=0c530f3f-86f0-3ff2-8854-6629d22b56c4"]},{"id":"ITEM-2","itemData":{"DOI":"10.24191/AJUE.V20I1.26027","abstract":"This study investigated the effectiveness of incorporating the 5E learning cycle model and problem-based learning (PBL) to enhance students’ scientific article writing skills. The study included 58 participants from Universitas Asahan, employing pre-test and post-test group designs. This study utilized descriptive and experimental research methods to analyze the data. Results indicated that classes that implemented the Technological Pedagogical Content Knowledge/TPACK-based 5E-PBL learning cycle model attained an average score of 86.03, while classes that did not integrate this model achieved an average score of 76.81. Significantly higher mean scores were observed among students exposed to the experimental condition. The normality test results indicated that Lcount &lt; Ltable, where the p-value was &gt; 0.05, validating the normal distribution of data for both experimental and control groups. Additionally, the homogeneity test revealed that Fcount &lt; Ftable, demonstrating sample homogeneity. The findings support the effectiveness of the TPACK-based 5E-PBL learning cycle model in improving students’ scientific article writing abilities. © (2024), (UiTM Press). All rights reserved.","author":[{"dropping-particle":"","family":"Nisa","given":"K","non-dropping-particle":"","parse-names":false,"suffix":""},{"dropping-particle":"","family":"Ramadhan","given":"S","non-dropping-particle":"","parse-names":false,"suffix":""},{"dropping-particle":"","family":"Thahar","given":"H E","non-dropping-particle":"","parse-names":false,"suffix":""}],"container-title":"Asian Journal of University Education","id":"ITEM-2","issue":"1","issued":{"date-parts":[["2024"]]},"note":"Export Date: 12 February 2026; Cited By: 1","page":"185-196","title":"Effectiveness of the 5E Learning Cycle and Problem-Based Learning in Writing Scientific Article Based on TPACK","type":"article-journal","volume":"20"},"uris":["http://www.mendeley.com/documents/?uuid=cbc0d12f-1fd5-4b01-970a-95c224d12603"]},{"id":"ITEM-3","itemData":{"DOI":"10.46328/ijemst.2510","abstract":"This research aims to determine whether there is an influence of applying the Problem Based Learning (PBL) Model with the Technological, Pedagogical, and Content Knowledge (TPACK) Approach on the historical learning outcomes of high school students of Sultan Iskandar Muda Medan. This study uses a quasi-experiment research method. The population in this study involves all students of class XI of High School (SMA) Sultan Iskandar Muda Medan, with a sample of class XI of Social Sciences (IPS) 1 as an experiment class and class XI of Social Sciences (IPS) 3 as a control class selected by simple random sampling method. The experiment class is taught with the PBL Model with the TPACK Approach, while the control class is taught with the Discovery Learning Model. The research instrument used is in the form of test questions totaling 25 multiple choice questions that have been declared valid. In this study, two stages of the test were given, namely pretest and posttest, in the form of multiple-choice questions that have been declared valid. The pretest is given to both sample classes to determine the student's initial ability before being given treatment, while the posttest is given to both sample classes to determine the final ability of learners after treatment. Based on posttest data, the experiment class obtained an average score of 80.3 and an average score in the control class of 68.4. The data proved to be a normal and homogeneous distribution through statistical test analysis, so a hypothesis test was carried out, namely a one-party t-test that showed a significance level of α = 0.05. Thus, Ho was rejected, and Ha was accepted, meaning that there was an influence of the PBL Model with the TPACK Approach on the historical learning outcomes of the high school students. © 2022 International Journal of Education in Mathematics, Science and Technology. All rights reserved.","author":[{"dropping-particle":"","family":"Tanjung","given":"S","non-dropping-particle":"","parse-names":false,"suffix":""},{"dropping-particle":"","family":"Ampera","given":"D","non-dropping-particle":"","parse-names":false,"suffix":""},{"dropping-particle":"","family":"Jahidin","given":"I","non-dropping-particle":"","parse-names":false,"suffix":""}],"container-title":"International Journal of Education in Mathematics, Science and Technology","id":"ITEM-3","issue":"3","issued":{"date-parts":[["2022"]]},"note":"Export Date: 12 February 2026; Cited By: 8","page":"740-752","title":"Problem Based Learning (PBL) Model with Technological, Pedagogical, and Content Knowledge (TPACK) Approach","type":"article-journal","volume":"10"},"uris":["http://www.mendeley.com/documents/?uuid=01c1f7ba-b8a9-4262-82f9-95896c85fea1"]}],"mendeley":{"formattedCitation":"(Nisa et al., 2024; Praviesta et al., 2024; Tanjung et al., 2022)","manualFormatting":"(Praviesta et al., 2024)","plainTextFormattedCitation":"(Nisa et al., 2024; Praviesta et al., 2024; Tanjung et al., 2022)","previouslyFormattedCitation":"(Nisa et al., 2024; Praviesta et al., 2024; Tanjung et al., 2022)"},"properties":{"noteIndex":0},"schema":"https://github.com/citation-style-language/schema/raw/master/csl-citation.json"}</w:instrText>
      </w:r>
      <w:r w:rsidRPr="00A37A64">
        <w:rPr>
          <w:rFonts w:ascii="Times New Roman" w:eastAsia="Times New Roman" w:hAnsi="Times New Roman" w:cs="Times New Roman"/>
          <w:sz w:val="24"/>
          <w:szCs w:val="24"/>
        </w:rPr>
        <w:fldChar w:fldCharType="separate"/>
      </w:r>
      <w:r w:rsidRPr="00A37A64">
        <w:rPr>
          <w:rFonts w:ascii="Times New Roman" w:eastAsia="Times New Roman" w:hAnsi="Times New Roman" w:cs="Times New Roman"/>
          <w:sz w:val="24"/>
          <w:szCs w:val="24"/>
        </w:rPr>
        <w:t>(Praviesta et al., 2024)</w:t>
      </w:r>
      <w:r w:rsidRPr="00A37A64">
        <w:rPr>
          <w:rFonts w:ascii="Times New Roman" w:eastAsia="Times New Roman" w:hAnsi="Times New Roman" w:cs="Times New Roman"/>
          <w:sz w:val="24"/>
          <w:szCs w:val="24"/>
          <w:lang w:val="id-ID"/>
        </w:rPr>
        <w:fldChar w:fldCharType="end"/>
      </w:r>
      <w:r w:rsidRPr="00A37A64">
        <w:rPr>
          <w:rFonts w:ascii="Times New Roman" w:eastAsia="Times New Roman" w:hAnsi="Times New Roman" w:cs="Times New Roman"/>
          <w:sz w:val="24"/>
          <w:szCs w:val="24"/>
        </w:rPr>
        <w:t xml:space="preserve"> which provides quantitative evidence on the effectiveness of TPACK's integrated PBL in improving learning outcomes compared to conventional methods. This success is essentially driven by compatibility between PBL syntax and proper technology support </w:t>
      </w:r>
      <w:r w:rsidRPr="00A37A64">
        <w:rPr>
          <w:rFonts w:ascii="Times New Roman" w:eastAsia="Times New Roman" w:hAnsi="Times New Roman" w:cs="Times New Roman"/>
          <w:sz w:val="24"/>
          <w:szCs w:val="24"/>
        </w:rPr>
        <w:fldChar w:fldCharType="begin" w:fldLock="1"/>
      </w:r>
      <w:r w:rsidRPr="00A37A64">
        <w:rPr>
          <w:rFonts w:ascii="Times New Roman" w:eastAsia="Times New Roman" w:hAnsi="Times New Roman" w:cs="Times New Roman"/>
          <w:sz w:val="24"/>
          <w:szCs w:val="24"/>
        </w:rPr>
        <w:instrText>ADDIN CSL_CITATION {"citationItems":[{"id":"ITEM-1","itemData":{"DOI":"10.17275/per.19.10.6.2","abstract":"This study aims at investigating the effects of Programming Education Planned with TPACK (Technological Pedagogical Content Knowledge) Framework on middle school students’ learning outputs within the ITS (Informational Technology and Software) course. Although TPACK is known as a teacher training program, this study demonstrates it can be used in K12 education. The sample of the research consists of 41 6th grade level students from a Turkish middle school. This study used a quasi-experimental research design which compares pre-test and post-test results for experimental and control groups. Data were collected through quantitative scales. The effects of programming education planned with TPACK framework on students’ academic achievement, perception of problem-solving skills and computational thinking skills are investigated. According to the results, the means of academic achievement, problem solving inventory and computational thinking skill scale scores of the experimental group are significantly higher, which means TPACK framed lesson has a positive impact on learning outcomes. As a result of this study it can be concluded that matching technology that is suitable for the relevant content is crucial for learning, using appropriate technology is a good strategy for learning technology, higher order skills are improved by technology supported learning and academic achievement can be enhanced by using enriched activities in a technological environment. © 2019, Ozgen Korkmaz. All rights reserved.","author":[{"dropping-particle":"","family":"Atun","given":"H","non-dropping-particle":"","parse-names":false,"suffix":""},{"dropping-particle":"","family":"Usta","given":"E","non-dropping-particle":"","parse-names":false,"suffix":""}],"container-title":"Participatory Educational Research","id":"ITEM-1","issue":"2","issued":{"date-parts":[["2019"]]},"note":"Export Date: 12 February 2026; Cited By: 26","page":"26-36","title":"The effects of programming education planned with TPACK framework on learning outcomes","type":"article-journal","volume":"6"},"uris":["http://www.mendeley.com/documents/?uuid=c580c8ad-5faf-4bd7-8d57-f51e868e8d06"]},{"id":"ITEM-2","itemData":{"DOI":"10.22521/edupij.2025.16.279","abstract":"Background/purpose. Social studies learning outcomes for fourth-grade pupils at Al-Hikmah Islamic Elementary School, Simpar Poncokusumo Malang, East Java, Indonesia, remain poor. Teachers' continued use of the traditional lecture technique and a single learning resource is the reason for the poor learning outcomes. Additionally, technology has not been used in the educational process. The researchers employed the Contextual Teaching and Learning (CTL) learning model to help these pupils perform better. Applying the Contextual Teaching and Learning (CTL) approach in conjunction with Technological Pedagogical Content Knowledge (TPACK) is the goal of this project. Materials/methods. This study employed a nonequivalent control group design and a quasi-experimental research paradigm. Two groups participated in the study: one was taught using the TPACK-based CTL model as an experimental group, and the other was taught using traditional techniques. To ascertain the impact of the intervention on student learning outcomes, statistical tests were used to examine the data. Results. The findings of the t-test performed by researchers utilizing the SPSS program provide evidence of this. According to the criteria for drawing conclusions, if the significance value is less than the significance level, then Ha is accepted and H0 is rejected in the cognitive learning outcomes, which had a significant value of 0.004 &lt;0.05. The study's findings indicated that the TPACK-based CTL learning paradigm impacted class IV social studies learning outcomes. Conclusion. It can be concluded that the TPACK-based CTL learning model has an effect on social studies cognitive learning outcomes in class IV. In CTL learning based on Technological Pedagogical Content Knowledge (TPACK), the teacher reaps many benefits: students can be creative and active, think critically, can follow the technology used by educators, learning is easier, can solve problems, and material can be understood by students well. © The Author(s), 2025.","author":[{"dropping-particle":"","family":"Susilawati","given":"S","non-dropping-particle":"","parse-names":false,"suffix":""},{"dropping-particle":"","family":"Supriyatno","given":"T","non-dropping-particle":"","parse-names":false,"suffix":""},{"dropping-particle":"","family":"Yasin","given":"A F","non-dropping-particle":"","parse-names":false,"suffix":""},{"dropping-particle":"","family":"Chakim","given":"A","non-dropping-particle":"","parse-names":false,"suffix":""},{"dropping-particle":"","family":"Putri","given":"C A","non-dropping-particle":"","parse-names":false,"suffix":""}],"container-title":"Educational Process: International Journal","id":"ITEM-2","issued":{"date-parts":[["2025"]]},"note":"Export Date: 12 February 2026; Cited By: 0","title":"The Effect of TPACK-Based Contextual Teaching and Learning Model on Student Learning Outcomes","type":"article-journal","volume":"16"},"uris":["http://www.mendeley.com/documents/?uuid=5140599a-b154-4d8c-b686-6754af16462e"]},{"id":"ITEM-3","itemData":{"DOI":"10.55766/sjss-1-2025-252259","abstract":"Background and Objectives: Current reform efforts in science education emphasize the integration of technology to enhance instructional practices and improve student learning outcomes. To achieve this, teachers must develop the necessary knowledge and skills to effectively incorporate technology into their instruction. The Technological Pedagogical Content Knowledge (TPACK) framework serves as a crucial model that helps teachers connect subject matter knowledge, pedagogical strategies, and technological tools to create meaningful learning experiences. A solid understanding of TPACK allows teachers to select appropriate technologies that align with both content and instructional methods. This ensures their teaching aligns with modern educational needs and enhances student learning outcomes. However, most existing studies on teachers' perceptions of TPACK focus primarily on assessing their perceived competency levels and their alignment with components of the framework. Studies lack an in-depth analysis of how science teachers perceive TPACK, including its characteristics, strengths, and weaknesses. Therefore, a more in-depth investigation is essential to provide professional development for teachers in Opportunity Expansion Schools, where resources are limited and traditional teaching methods persist. Methodology: This qualitative research was conducted by means of a case study that aimed to examine the perceptions of TPACK by three lower secondary science teachers from an Opportunity Expansion School in Chaiyaphum Province, Thailand. These teachers were selected based on their self-reported low TPACK scores. The research utilized various data collection methods, including semi-structured interviews, lesson plan analysis, and classroom observations. A content analysis approach was used to examine the collected data, and triangulation was applied to ensure validity by comparing findings across different data sources. The analysis focused on the seven components of the TPACK framework: Content Knowledge (CK), Pedagogical Knowledge (PK), Pedagogical Content Knowledge (PCK), Technological Knowledge (TK), Technological Content Knowledge (TCK), Technological Pedagogical Knowledge (TPK), and Technological Pedagogical Content Knowledge (TPACK). Main Results: The findings revealed that the teachers’ perceptions of TPACK were not aligned with most components of the framework, excluding CK. The teachers demonstrated strong CK due to their academic backgrounds in sc…","author":[{"dropping-particle":"","family":"Rinla","given":"C","non-dropping-particle":"","parse-names":false,"suffix":""},{"dropping-particle":"","family":"Bongkotphet","given":"T","non-dropping-particle":"","parse-names":false,"suffix":""},{"dropping-particle":"","family":"Chaiyasith","given":"W C","non-dropping-particle":"","parse-names":false,"suffix":""}],"container-title":"Suranaree Journal of Social Science","id":"ITEM-3","issue":"1","issued":{"date-parts":[["2025"]]},"note":"Export Date: 10 February 2026; Cited By: 0","title":"Science Teachers’ Perceptions of Technological Pedagogical Content Knowledge (TPACK): A Case Study of Opportunity Expansion School in Chaiyaphum","type":"article-journal","volume":"19"},"uris":["http://www.mendeley.com/documents/?uuid=7cb32aa7-2a8b-4358-9f38-29dfd4d3b777"]}],"mendeley":{"formattedCitation":"(Atun &amp; Usta, 2019; Rinla et al., 2025; Susilawati et al., 2025)","manualFormatting":"(Susilawati et al., 2025)","plainTextFormattedCitation":"(Atun &amp; Usta, 2019; Rinla et al., 2025; Susilawati et al., 2025)","previouslyFormattedCitation":"(Atun &amp; Usta, 2019; Rinla et al., 2025; Susilawati et al., 2025)"},"properties":{"noteIndex":0},"schema":"https://github.com/citation-style-language/schema/raw/master/csl-citation.json"}</w:instrText>
      </w:r>
      <w:r w:rsidRPr="00A37A64">
        <w:rPr>
          <w:rFonts w:ascii="Times New Roman" w:eastAsia="Times New Roman" w:hAnsi="Times New Roman" w:cs="Times New Roman"/>
          <w:sz w:val="24"/>
          <w:szCs w:val="24"/>
        </w:rPr>
        <w:fldChar w:fldCharType="separate"/>
      </w:r>
      <w:r w:rsidRPr="00A37A64">
        <w:rPr>
          <w:rFonts w:ascii="Times New Roman" w:eastAsia="Times New Roman" w:hAnsi="Times New Roman" w:cs="Times New Roman"/>
          <w:sz w:val="24"/>
          <w:szCs w:val="24"/>
        </w:rPr>
        <w:t>(Susilawati et al., 2025)</w:t>
      </w:r>
      <w:r w:rsidRPr="00A37A64">
        <w:rPr>
          <w:rFonts w:ascii="Times New Roman" w:eastAsia="Times New Roman" w:hAnsi="Times New Roman" w:cs="Times New Roman"/>
          <w:sz w:val="24"/>
          <w:szCs w:val="24"/>
          <w:lang w:val="id-ID"/>
        </w:rPr>
        <w:fldChar w:fldCharType="end"/>
      </w:r>
      <w:r w:rsidRPr="00A37A64">
        <w:rPr>
          <w:rFonts w:ascii="Times New Roman" w:eastAsia="Times New Roman" w:hAnsi="Times New Roman" w:cs="Times New Roman"/>
          <w:sz w:val="24"/>
          <w:szCs w:val="24"/>
        </w:rPr>
        <w:t>.</w:t>
      </w:r>
    </w:p>
    <w:p w14:paraId="1720830E" w14:textId="77777777" w:rsidR="00A37A64" w:rsidRPr="00A37A64" w:rsidRDefault="00A37A64" w:rsidP="00A37A64">
      <w:pPr>
        <w:spacing w:before="120" w:after="120" w:line="240" w:lineRule="auto"/>
        <w:jc w:val="both"/>
        <w:rPr>
          <w:rFonts w:ascii="Times New Roman" w:eastAsia="Times New Roman" w:hAnsi="Times New Roman" w:cs="Times New Roman"/>
          <w:sz w:val="24"/>
          <w:szCs w:val="24"/>
        </w:rPr>
      </w:pPr>
      <w:r w:rsidRPr="00A37A64">
        <w:rPr>
          <w:rFonts w:ascii="Times New Roman" w:eastAsia="Times New Roman" w:hAnsi="Times New Roman" w:cs="Times New Roman"/>
          <w:sz w:val="24"/>
          <w:szCs w:val="24"/>
        </w:rPr>
        <w:t>However, further test results on the paired comparison of the test showed that there was no significant difference between the PBL-only group (E2) and the conventional group (K) with a value of p = 1,000. This condition is suspected to be related to the limited duration of the intervention, the emergence of the phenomenon Learning Culture Shock, and it is not optimal Fidelity Implementation in the application of PBL in the field. It also indicates that without technology integration (TPACK), the PBL model has not been able to provide a significant difference in results compared to conventional methods. This is in line with Shulman's (1986) theory</w:t>
      </w:r>
      <w:r w:rsidRPr="00A37A64">
        <w:rPr>
          <w:rFonts w:ascii="Times New Roman" w:eastAsia="Times New Roman" w:hAnsi="Times New Roman" w:cs="Times New Roman"/>
          <w:sz w:val="24"/>
          <w:szCs w:val="24"/>
        </w:rPr>
        <w:fldChar w:fldCharType="begin" w:fldLock="1"/>
      </w:r>
      <w:r w:rsidRPr="00A37A64">
        <w:rPr>
          <w:rFonts w:ascii="Times New Roman" w:eastAsia="Times New Roman" w:hAnsi="Times New Roman" w:cs="Times New Roman"/>
          <w:sz w:val="24"/>
          <w:szCs w:val="24"/>
        </w:rPr>
        <w:instrText>ADDIN CSL_CITATION {"citationItems":[{"id":"ITEM-1","itemData":{"DOI":"10.1111/jcal.12752","abstract":"Background: Augmented reality (AR) is a widely used technology in science education today. Problem-based learning (PBL) is one of the teaching methods employed in science education for a long time. Studies where AR and PBL are used together are new and rare. PBL and AR technology are used together in the study because it is believed that integrating AR technology with PBL increases the effectiveness of PBL. Objectives: In the present study, the effect of PBL supported by AR on academic achievement, reflective thinking skills towards problem-solving, decision-making abilities, and the permanence levels of the 7th-grade students were researched. Methods: The embedded design from mixed methods was used in the study, which had two experimental groups and one control group. For the Experiment-1, Experiment-2, and Control Groups, respectively, PBL supported by AR, PBL alone, and the current teaching method were used. The sample consists of 92 students from the seventh grade. Results and Conclusions: In terms of academic achievement, reflective thinking skills towards problem-solving, and decision-making abilities, the Experiment-1 Group outperformed the Experiment-2 and Control Groups, and the Experiment-2 Group outperformed the Control Group. It has been discovered that PBL supported by AR is more effective than solely PBL and the currently used teaching method in terms of improving reflective thinking skills towards problem-solving and decision-making abilities, as well as the persistence of academic achievement in a science course. © 2022 John Wiley &amp; Sons Ltd.","author":[{"dropping-particle":"","family":"Arici","given":"F","non-dropping-particle":"","parse-names":false,"suffix":""},{"dropping-particle":"","family":"Yilmaz","given":"M","non-dropping-particle":"","parse-names":false,"suffix":""}],"container-title":"Journal of Computer Assisted Learning","id":"ITEM-1","issue":"2","issued":{"date-parts":[["2023"]]},"note":"Export Date: 12 February 2026; Cited By: 31","page":"446-476","title":"An examination of the effectiveness of problem-based learning method supported by augmented reality in science education","type":"article-journal","volume":"39"},"uris":["http://www.mendeley.com/documents/?uuid=725fcb67-71bd-43bc-bd31-bada3ad58c42"]},{"id":"ITEM-2","itemData":{"DOI":"10.4018/978-1-5225-5631-2.ch040","abstract":"This research-based application of an online inservice teacher education course highlights how scaffolding subject matter content, pedagogy, and technologies in a problem-based learning approach reframes teachers' TPACK for integrating digital image and video technologies with 21st century inquiry thinking skills: Critical thinking, creative thinking, communicating and collaborating. The course design takes advantage of knowledge-building communities through the application of the online TPACK learning trajectory. The participants' products, interactions, and reflections demonstrate how the scaffolding engages them in high levels of thinking and learning in mathematics and science with digital image and video technologies. The result is an explanatory framework for how the scaffolding of the subject matter content, pedagogy, and technologies in problem-based learning with the online TPACK learning trajectory guides teachers in rethinking, relearning and reframing their TPACK knowledge for engaging students 21st century inquiry thinking with digital image and video technologies. © 2018 by IGI Global. All rights reserved.","author":[{"dropping-particle":"","family":"Niess","given":"M L","non-dropping-particle":"","parse-names":false,"suffix":""}],"container-title":"Teacher Training and Professional Development: Concepts, Methodologies, Tools, and Applications","id":"ITEM-2","issued":{"date-parts":[["2018"]]},"note":"Export Date: 12 February 2026; Cited By: 4","page":"914-931","title":"Scaffolding subject matter content with pedagogy and technologies in problem-based learning with the online TPACK learning trajectory","type":"chapter","volume":"2"},"uris":["http://www.mendeley.com/documents/?uuid=18ef9fe4-df53-4990-993a-d70e7b1cb28f"]},{"id":"ITEM-3","itemData":{"DOI":"10.1177/21582440251359823","abstract":"Recent research has highlighted technology-enhanced active learning (TEAL) as a burgeoning area of study. However, the effectiveness of technology-enhanced active learning environments in supporting pre-service teachers’ technological beliefs and TPACK (Technological Pedagogical Content Knowledge) development remains to be further investigated. This study designed and developed a Technology-Enhanced Active Learning Environment (TEALE) and used the classical TPACK framework and Technology Acceptance Model (TAM) to examine the impact of TEALE on pre-service teachers’ TPACK and technological beliefs. This study utilized a comparison research design with control and experimental groups, employing a pre- and post-test approach. The results indicate that: (1) TEALE significantly improved pre-service teachers’ content knowledge, pedagogical knowledge, technological knowledge, technological content knowledge, technological pedagogical knowledge, and technological pedagogical content knowledge, and also enhanced their technological beliefs and engagement. (2) TEALE is not just an assessment tool but a teaching and learning tool that helps pre-service teachers organically integrate technology with personalized learning analytics, instructional design, classroom management, and evaluation activities. This provides valuable insights for improving pre-service teacher education programs, integrating technology, and future teaching practices. © The Author(s) 2025. This article is distributed under the terms of the Creative Commons Attribution 4.0 License (https://creativecommons.org/licenses/by/4.0/) which permits any use, reproduction and distribution of the work without further permission provided the original work is attributed as specified on the SAGE and Open Access pages (https://us.sagepub.com/en-us/nam/open-access-at-sage).","author":[{"dropping-particle":"","family":"Zhang","given":"H","non-dropping-particle":"","parse-names":false,"suffix":""},{"dropping-particle":"","family":"Wang","given":"Z","non-dropping-particle":"","parse-names":false,"suffix":""},{"dropping-particle":"","family":"Jiang","given":"R","non-dropping-particle":"","parse-names":false,"suffix":""},{"dropping-particle":"","family":"Wu","given":"H","non-dropping-particle":"","parse-names":false,"suffix":""}],"container-title":"SAGE Open","id":"ITEM-3","issue":"3","issued":{"date-parts":[["2025"]]},"note":"Export Date: 12 February 2026; Cited By: 1","title":"Exploring the Influence of Technology-Enhanced Active Learning Environments on Pre-Service Teachers’ TPACK and Technology Beliefs","type":"article-journal","volume":"15"},"uris":["http://www.mendeley.com/documents/?uuid=87a0010c-551c-4ed3-999e-a4262a45abf2"]},{"id":"ITEM-4","itemData":{"abstract":"The pervasive influence of digital technology continues to bring about significant changes in higher education (HE). In the case of numeracy modules, lecturers find themselves at a crossroads of tradition and innovation. Here, they must navigate a complex terrain where students require support in foundational aspects of numeracy proficiency and the rapidly changing aspects of technological innovation to prepare them for the 4th and 5th Industrial Revolutions. The Technological Pedagogical Content Knowledge (TPACK) framework and the Substitution, Augmentation, Modification, and Redefinition (SAMR) model, along with Bloom’s Digital Taxonomy and constructivist learning theories provide a valuable theoretical framework for this study to examine critical factors encountered in integrating digital technology and numeracy in the context of a South African private HE Institution. Employing a qualitative methodology, this study investigates the dynamic intersection between teaching and learning, assessment strategies, digital technologies, and numeracy education in the digital age. Fifteen semi-structured interviews explore lecturers' experiences navigating this intersection. Highlights and challenges when integrating digital technology into pedagogical strategies are identified and explored. Findings highlight the potential for integrated technologies to enhance students’ analytical thinking and develop confidence in their ability to use digital tools. Contributing factors facilitating digital technology integration, such as innovative teaching strategies, active learning methodologies, and ongoing professional development, are identified. Numerous challenges to integrating technology exist, far surpassing the number of highlights, even in the presence of facilitating factors. Challenges are linked to the nature of numeracy modules, student engagement, infrastructure, skills, time limitations, and improper use of Artificial Intelligence (AI). There is a pressing need to continuously upskill lecturers and students for success in the digital age, and for a highly intentional approach to technology integration. This study will interest a range of academic stakeholders, including lecturers, information specialists, educational technologists, and teaching and learning specialists. © 2024 Proceedings of the International Conference on Education Research, ICER 2024. All rights reserved.","author":[{"dropping-particle":"","family":"Nupen","given":"D M","non-dropping-particle":"","parse-names":false,"suffix":""},{"dropping-particle":"","family":"Jagernath","given":"J","non-dropping-particle":"","parse-names":false,"suffix":""}],"container-title":"Proceedings of the International Conference on Education Research, ICER 2024","id":"ITEM-4","issued":{"date-parts":[["2024"]]},"note":"Export Date: 12 February 2026; Cited By: 0","page":"263-271","title":"Digital Integration Insights: Exploring Highlights and Challenges of Numeracy Lecturers in Higher Education","type":"paper-conference"},"uris":["http://www.mendeley.com/documents/?uuid=3bf446a7-58fa-40e5-97ce-545e3213a4cc"]}],"mendeley":{"formattedCitation":"(Arici &amp; Yilmaz, 2023; Niess, 2018; Nupen &amp; Jagernath, 2024; Zhang et al., 2025)","manualFormatting":"(Nupen &amp; Jagernath, 2024)","plainTextFormattedCitation":"(Arici &amp; Yilmaz, 2023; Niess, 2018; Nupen &amp; Jagernath, 2024; Zhang et al., 2025)","previouslyFormattedCitation":"(Arici &amp; Yilmaz, 2023; Niess, 2018; Nupen &amp; Jagernath, 2024; Zhang et al., 2025)"},"properties":{"noteIndex":0},"schema":"https://github.com/citation-style-language/schema/raw/master/csl-citation.json"}</w:instrText>
      </w:r>
      <w:r w:rsidRPr="00A37A64">
        <w:rPr>
          <w:rFonts w:ascii="Times New Roman" w:eastAsia="Times New Roman" w:hAnsi="Times New Roman" w:cs="Times New Roman"/>
          <w:sz w:val="24"/>
          <w:szCs w:val="24"/>
        </w:rPr>
        <w:fldChar w:fldCharType="separate"/>
      </w:r>
      <w:r w:rsidRPr="00A37A64">
        <w:rPr>
          <w:rFonts w:ascii="Times New Roman" w:eastAsia="Times New Roman" w:hAnsi="Times New Roman" w:cs="Times New Roman"/>
          <w:sz w:val="24"/>
          <w:szCs w:val="24"/>
        </w:rPr>
        <w:t>(Nupen &amp; Jagernath, 2024)</w:t>
      </w:r>
      <w:r w:rsidRPr="00A37A64">
        <w:rPr>
          <w:rFonts w:ascii="Times New Roman" w:eastAsia="Times New Roman" w:hAnsi="Times New Roman" w:cs="Times New Roman"/>
          <w:sz w:val="24"/>
          <w:szCs w:val="24"/>
          <w:lang w:val="id-ID"/>
        </w:rPr>
        <w:fldChar w:fldCharType="end"/>
      </w:r>
      <w:r w:rsidRPr="00A37A64">
        <w:rPr>
          <w:rFonts w:ascii="Times New Roman" w:eastAsia="Times New Roman" w:hAnsi="Times New Roman" w:cs="Times New Roman"/>
          <w:sz w:val="24"/>
          <w:szCs w:val="24"/>
        </w:rPr>
        <w:t xml:space="preserve"> that in the digital era, pedagogical knowledge (PK) must be integrated with technological knowledge (TK) to produce meaningful and effective learning. </w:t>
      </w:r>
    </w:p>
    <w:p w14:paraId="0969ED15" w14:textId="77777777" w:rsidR="00A37A64" w:rsidRPr="00A37A64" w:rsidRDefault="00A37A64" w:rsidP="00A37A64">
      <w:pPr>
        <w:spacing w:before="120" w:after="120" w:line="240" w:lineRule="auto"/>
        <w:jc w:val="both"/>
        <w:rPr>
          <w:rFonts w:ascii="Times New Roman" w:eastAsia="Times New Roman" w:hAnsi="Times New Roman" w:cs="Times New Roman"/>
          <w:sz w:val="24"/>
          <w:szCs w:val="24"/>
        </w:rPr>
      </w:pPr>
      <w:r w:rsidRPr="00A37A64">
        <w:rPr>
          <w:rFonts w:ascii="Times New Roman" w:eastAsia="Times New Roman" w:hAnsi="Times New Roman" w:cs="Times New Roman"/>
          <w:sz w:val="24"/>
          <w:szCs w:val="24"/>
        </w:rPr>
        <w:t xml:space="preserve">The need for this technology is reaffirmed by research </w:t>
      </w:r>
      <w:r w:rsidRPr="00A37A64">
        <w:rPr>
          <w:rFonts w:ascii="Times New Roman" w:eastAsia="Times New Roman" w:hAnsi="Times New Roman" w:cs="Times New Roman"/>
          <w:sz w:val="24"/>
          <w:szCs w:val="24"/>
        </w:rPr>
        <w:fldChar w:fldCharType="begin" w:fldLock="1"/>
      </w:r>
      <w:r w:rsidRPr="00A37A64">
        <w:rPr>
          <w:rFonts w:ascii="Times New Roman" w:eastAsia="Times New Roman" w:hAnsi="Times New Roman" w:cs="Times New Roman"/>
          <w:sz w:val="24"/>
          <w:szCs w:val="24"/>
        </w:rPr>
        <w:instrText>ADDIN CSL_CITATION {"citationItems":[{"id":"ITEM-1","itemData":{"DOI":"10.36709/jpm.v13i2.15","ISSN":"2597-3592","abstract":"Abstrak: Peserta didik saat ini dituntut untuk memiliki keterampilan berpikir tingkat tinggi. Untuk itu, guru harus berperan penting untuk menanamkan HOTS kepada peserta didik. Namun literatur yang ada dalam konteks pengetahuan guru di Indonesia menunjukkan guru masih kesulitan mengembangkan pembelajaran berorientasi HOTS. Oleh karena itu, penelitian ini bertujuan untuk mengetahui tingkat pengetahuan TPACK guru, serta faktor-faktornya yang mempengaruhi TPACK guru dalam pembelajaran berorientasi HOTS. Penelitian ini menggunakan metode survei untuk mengumpulkan data. Enam belas guru dari sekolah menengah pertama dan sekolah menengah atas di Sulawesi Tenggara berpartisipasi dalam penelitian ini. Data dikumpulkan melalui kuesioner. Analisis deskriptif dan tematik dilakukan untuk menganalisis data. Hasil penelitian menunjukkan bahwa; teknologi yang digunakan untuk pembelajaran berorientasi HOTS adalah Google classroom (83,3%) dan whatsapp (83,3%); secara umum tingkat pengetahuan TPACK guru berkategori baik; (3) secara umum guru belum mengintegrasikan unsur HOTS dalam mata pelajarannya; semua responden mengintegrasikan TPACK di kelas dan setuju bahwa TPACK dapat mendukung pembelajaran berorientasi HOTS. Temuan juga menunjukkan bahwa faktor guru seperti sikap terhadap teknologi, efikasi diri sangat mempengaruhi pengetahuan TPACK guru. Penelitian ini dapat berkontribusi dalam memperluas pemahaman pembaca tentang tingkat pengetahuan TPACK guru serta faktor-faktor yang dapat berkontribusi untuk mendukung pembelajaran berorientasi HOTS di kelas. Kata kunci: efikasi diri; HOTS; TPACK. Abstract: Today's students are required to have high order thinking skills. For this reason, teachers must play an important role in instilling HOTS in students. However, the existing literature in the context of teacher knowledge in Indonesia shows that teachers still have difficulty developing HOTS-oriented learning. Therefore, this study aims to determine the level of teacher TPACK knowledge, as well as the factors that affect teacher TPACK in HOTS-oriented learning. This study used a survey method to collect data. Sixteen teachers from junior and senior high schools in Southeast Sulawesi participated in this study. Data were collected through a questionnaire. Descriptive and thematic analyzes were carried out to analyze the data. The results showed that; the technology used for HOTS-oriented learning is Google classroom (83.3%) and whatsapp (83.3%); in general, the level of knowle…","author":[{"dropping-particle":"","family":"Sahidin","given":"Latief","non-dropping-particle":"","parse-names":false,"suffix":""},{"dropping-particle":"","family":"Prajono","given":"Rahmad","non-dropping-particle":"","parse-names":false,"suffix":""}],"id":"ITEM-1","issue":"2","issued":{"date-parts":[["2022"]]},"page":"212-227","title":"Eksplorasi TPACK dalam Mendukung Keterampilan Berpikir Tingkat Tinggi (Exploration of TPACK in Supporting High Order Thinking Skills)","type":"article-journal","volume":"13"},"uris":["http://www.mendeley.com/documents/?uuid=9c091ac5-d423-3f07-aede-058d65cf197c"]}],"mendeley":{"formattedCitation":"(Sahidin &amp; Prajono, 2022)","plainTextFormattedCitation":"(Sahidin &amp; Prajono, 2022)","previouslyFormattedCitation":"(Sahidin &amp; Prajono, 2022)"},"properties":{"noteIndex":0},"schema":"https://github.com/citation-style-language/schema/raw/master/csl-citation.json"}</w:instrText>
      </w:r>
      <w:r w:rsidRPr="00A37A64">
        <w:rPr>
          <w:rFonts w:ascii="Times New Roman" w:eastAsia="Times New Roman" w:hAnsi="Times New Roman" w:cs="Times New Roman"/>
          <w:sz w:val="24"/>
          <w:szCs w:val="24"/>
        </w:rPr>
        <w:fldChar w:fldCharType="separate"/>
      </w:r>
      <w:r w:rsidRPr="00A37A64">
        <w:rPr>
          <w:rFonts w:ascii="Times New Roman" w:eastAsia="Times New Roman" w:hAnsi="Times New Roman" w:cs="Times New Roman"/>
          <w:sz w:val="24"/>
          <w:szCs w:val="24"/>
        </w:rPr>
        <w:t>(Sahidin &amp; Prajono, 2022)</w:t>
      </w:r>
      <w:r w:rsidRPr="00A37A64">
        <w:rPr>
          <w:rFonts w:ascii="Times New Roman" w:eastAsia="Times New Roman" w:hAnsi="Times New Roman" w:cs="Times New Roman"/>
          <w:sz w:val="24"/>
          <w:szCs w:val="24"/>
          <w:lang w:val="id-ID"/>
        </w:rPr>
        <w:fldChar w:fldCharType="end"/>
      </w:r>
      <w:r w:rsidRPr="00A37A64">
        <w:rPr>
          <w:rFonts w:ascii="Times New Roman" w:eastAsia="Times New Roman" w:hAnsi="Times New Roman" w:cs="Times New Roman"/>
          <w:sz w:val="24"/>
          <w:szCs w:val="24"/>
        </w:rPr>
        <w:t xml:space="preserve"> about the importance of the role of media in increasing HOTS. The significant advantage of the TPACK group in evaluating (C5) and creating (C6) indicators indicates that the technology in this study does not only function as a tool, but as a cognitive scaffolding. The use of PhET simulations, for example, acts as a support that helps students overcome visualization difficulties in abstract concepts that tend to be difficult to reach for pure PBL groups. As Scaffold, technology provides a more 'secure' and scalable environment of inquiry, allowing learners to conduct repeated virtual experiments to test their hypotheses independently.</w:t>
      </w:r>
    </w:p>
    <w:p w14:paraId="33E2365B" w14:textId="77777777" w:rsidR="00A37A64" w:rsidRPr="00A37A64" w:rsidRDefault="00A37A64" w:rsidP="00A37A64">
      <w:pPr>
        <w:spacing w:before="120" w:after="120" w:line="240" w:lineRule="auto"/>
        <w:jc w:val="both"/>
        <w:rPr>
          <w:rFonts w:ascii="Times New Roman" w:eastAsia="Times New Roman" w:hAnsi="Times New Roman" w:cs="Times New Roman"/>
          <w:sz w:val="24"/>
          <w:szCs w:val="24"/>
        </w:rPr>
      </w:pPr>
      <w:r w:rsidRPr="00A37A64">
        <w:rPr>
          <w:rFonts w:ascii="Times New Roman" w:eastAsia="Times New Roman" w:hAnsi="Times New Roman" w:cs="Times New Roman"/>
          <w:sz w:val="24"/>
          <w:szCs w:val="24"/>
        </w:rPr>
        <w:t xml:space="preserve">This transformative support helps students overcome their cognitive barriers, so that the evaluation and creation process can occur more optimally than in the group that only relies on PBL instruction without technological support. In this study, the use of PhET, baamboozle, and classdojo simulations proved to be effective as interactive media that triggered student activities. This shows that the success of HOTS development is highly dependent on the accuracy of teachers in integrating technology into the content of the material or knowledge of the content of the technology content </w:t>
      </w:r>
      <w:r w:rsidRPr="00A37A64">
        <w:rPr>
          <w:rFonts w:ascii="Times New Roman" w:eastAsia="Times New Roman" w:hAnsi="Times New Roman" w:cs="Times New Roman"/>
          <w:sz w:val="24"/>
          <w:szCs w:val="24"/>
        </w:rPr>
        <w:fldChar w:fldCharType="begin" w:fldLock="1"/>
      </w:r>
      <w:r w:rsidRPr="00A37A64">
        <w:rPr>
          <w:rFonts w:ascii="Times New Roman" w:eastAsia="Times New Roman" w:hAnsi="Times New Roman" w:cs="Times New Roman"/>
          <w:sz w:val="24"/>
          <w:szCs w:val="24"/>
        </w:rPr>
        <w:instrText>ADDIN CSL_CITATION {"citationItems":[{"id":"ITEM-1","itemData":{"DOI":"10.1007/s11423-025-10533-7","abstract":"The integration of technology in the learning landscape has precipitated the need to understand its relationship with students’ cognitive processes. However, there is a gap in understanding how learning engagement interacts with two approaches to using technology and how these, in turn, impact higher order thinking skills (HOTS). This study aimed to explore the mediating role of learning engagement between approaches to using technology and HOTS within the technology-enhanced inquiry-based learning (T-IBL) framework. Data were collected from a sample of 160 college students experienced in T-IBL environments. Structural equation modeling was used to analyse the relationship between these key variables. The results showed that students’ deep approach to using technologies had direct and significant positive impacts on learning engagement and HOTS. While students’ surface approach to using technologies had direct negative influences on learning engagement and HOTS, they were not significant. What is more, learning engagement had direct and significant positive impacts on HOTS. In other words, learning engagement act as a mediator between students’ deep approach to using technologies and HOTS, but not between surface approach and HOTS. This research fills an existing gap by elucidating the intricate relationship between technology use, engagement, and cognitive processes in a T-IBL setting. The findings underscore the importance of fostering deeper engagement and mindful technology use to enhance HOTS in learners, offering invaluable insights for educators and curriculum developers in the digital age. © Association for Educational Communications and Technology 2025.","author":[{"dropping-particle":"","family":"Lu","given":"K","non-dropping-particle":"","parse-names":false,"suffix":""},{"dropping-particle":"","family":"Ji","given":"T","non-dropping-particle":"","parse-names":false,"suffix":""},{"dropping-particle":"","family":"Lu","given":"F","non-dropping-particle":"","parse-names":false,"suffix":""},{"dropping-particle":"","family":"Shadiev","given":"R","non-dropping-particle":"","parse-names":false,"suffix":""}],"container-title":"Educational Technology Research and Development","id":"ITEM-1","issued":{"date-parts":[["2025"]]},"note":"Export Date: 23 November 2025; Cited By: 0","title":"Bridging the digital divide: the mediating role of learning engagement between technology usage approaches and higher order thinking skills in a technology-enhanced inquiry-based learning environment","type":"article-journal"},"uris":["http://www.mendeley.com/documents/?uuid=0c74ab6a-8f3d-41d6-bd2b-f3e8e0486014"]},{"id":"ITEM-2","itemData":{"DOI":"10.4018/978-1-61692-854-4.ch023","abstract":"Technology has the greatest impact on student learning outcomes when students complete technology-rich activities that also develop their higher-order thinking skills (HOTS). This chapter presents findings from a study that examined two lesson plans from 74 first-year teachers who were learning how to plan technology-rich instruction focused on students' HOTS. Findings indicate that teachers' lesson plans did not address students' HOTS and rated low on the Level of Technology Integration (LOTI) scale. Further, teachers' use of an indirect instruction lesson plan format that promoted student discovery was associated with higher levels of HOTS and technology use. Implications and future trends for both practice and research are also shared. © 2011, IGI Global.","author":[{"dropping-particle":"","family":"Polly","given":"D","non-dropping-particle":"","parse-names":false,"suffix":""}],"container-title":"Adaptation, Resistance and Access to Instructional Technologies: Assessing Future Trends In Education","id":"ITEM-2","issued":{"date-parts":[["2010"]]},"note":"Export Date: 12 February 2026; Cited By: 15","page":"395-409","title":"Preparing teachers to integrate technology effectively: The case of higher-order thinking skills (HOTS)","type":"chapter"},"uris":["http://www.mendeley.com/documents/?uuid=bea1f379-c9c2-45d3-893d-83157182fc4f"]},{"id":"ITEM-3","itemData":{"DOI":"10.47263/JASEM.7(6)06","abstract":"This study aims to assess the impact of Higher-Order Thinking Skills (HOTS) and Technological Pedagogical Content Knowledge (TPCK) on Digital Literacy (DL) in the context of digital classrooms. Data were collected from 182 students, and structural equation modeling was used to test the study's hypotheses. Our findings indicate that proficiency in technology pedagogy and higher-order thinking skills enhances students' digital literacy. Specifically, DL benefits substantially from the application of HOTS. However, there is room for a stronger association between TPCK expertise and DL. Of all the model variables, HOTS makes the most significant contribution to DL. This is crucial because it enhances students' problem-solving and technological capabilities in the classroom. Therefore, mathematics education should incorporate activities that nurture original and diverse thinking, without restricting students' access to technology. In addition, TPCK is vital for technological projects that are grounded in theoretical concepts, such as technological innovation. Our study contributes to the understanding of the importance of HOTS and TPCL to foster DL practices. © 2023, Sarawak Research Society. All rights reserved.","author":[{"dropping-particle":"","family":"Yanuarto","given":"W N","non-dropping-particle":"","parse-names":false,"suffix":""},{"dropping-particle":"","family":"Hapsari","given":"I","non-dropping-particle":"","parse-names":false,"suffix":""},{"dropping-particle":"","family":"Setyaningsih","given":"E","non-dropping-particle":"","parse-names":false,"suffix":""}],"container-title":"Journal of Applied Structural Equation Modeling","id":"ITEM-3","issue":"2","issued":{"date-parts":[["2023"]]},"note":"Export Date: 12 February 2026; Cited By: 0","title":"MODELING THE EFFECT OF HIGHER-ORDER THINKING SKILLS AND TECHNOLOGICAL PEDAGOGICAL CONTENT KNOWLEDGE ON STUDENTS’ DIGITAL LITERACY","type":"article-journal","volume":"7"},"uris":["http://www.mendeley.com/documents/?uuid=7a76e7f3-35d5-4afd-8f4b-6a3404118a2f"]},{"id":"ITEM-4","itemData":{"abstract":"The National Education Blueprint (2013-2025) is grounded based on high-performing systems which promote a transformation of the Malaysian education system in line with the vision of Malaysia's National Philosophy in achieving educational outcomes which are of world-class status. Information and Communication Technology (ICT) impacts on the efficiency of promoting higher-order thinking skills (HOTs) as it provides a platform for educationists with clear educational objectives to share ideas and collaborate on ways to enrich the learning experiences of students. Now, the important question, how is this integration working out for Malaysian university students and educators? This exploratory study aims at gaining deeper insights into the current learning practices used by both university teachers and students, the types of ICT used in their classes, their views on the integration of these skills into the curriculum and also the application methods of teaching and learning using ICT to promote HOTs. Data were collected using purposive sampling where 199 participants were selected to take part in the study. These respondents were a group of English major undergraduate students from several faculties in a public university in Malaysia. This study shows that the students' experience in their degree programmes have revealed several successes, as well as poignant challenges, related to the use of ICT in inculcating higher order thinking skills among learners. The implications of this study suggest several important insights on the potential opportunities of technologies in facilitating higher order thinking but success lies on the tasks that are appropriately designed for higher order thinking in the content. © 2017 Universiti Putra Malaysia Press.","author":[{"dropping-particle":"","family":"Ganapathy","given":"M","non-dropping-particle":"","parse-names":false,"suffix":""},{"dropping-particle":"","family":"Kaur","given":"M","non-dropping-particle":"","parse-names":false,"suffix":""},{"dropping-particle":"","family":"Kaur","given":"S","non-dropping-particle":"","parse-names":false,"suffix":""}],"container-title":"Pertanika Journal of Social Sciences and Humanities","id":"ITEM-4","issue":"2","issued":{"date-parts":[["2017"]]},"note":"Export Date: 12 February 2026; Cited By: 2","page":"877-890","title":"Tertiary students' learning practices using information and communication technology to promote higher-order thinking","type":"article-journal","volume":"25"},"uris":["http://www.mendeley.com/documents/?uuid=9256ce65-ab6e-44bb-8305-bc69875843bf"]},{"id":"ITEM-5","itemData":{"DOI":"10.32744/pse.2024.2.41","abstract":"Introduction. The preparedness of future economics teachers matters as it affects the quality of education, student results, workforce training, critical thinking abilities, global mindset, college prep, and adjustment to shifting economies. The future generation needs educated people to act as members of society and the world economy; hence, it requires a cadre of trained economists and teachers and is significantly shaped by intrinsic factors such as technological, pedagogical, and content knowledge (TPACK). This study refines and validates a measurement instrument to reliably and validity assess the essential competencies of these teachers, tailored to meet the evolving standards of economics education. Materials and Methods. The study used an online questionnaire with a purposive sample of 100 pre-service economics educators from Indonesia for Explanatory Factor Analysis (EFA) and 389 samples for Confirmatory Factor Analysis (CFA), all of whom had completed their teaching practicums. Then, statistical analysis was conducted using EFA in SPSS and CFA in AMOS. The EFA was employed to determine how well the instrument’s items capture the components of the TPACK framework and their relevance to the prospective teachers’ readiness for professional practice post-graduation. The CFA is Performed to guarantee that each variable analyzed has the validity of the configuration and the reliability of the construct as needed and is used to establish the extent to which the measured variable may represent the construct or variable that has previously been considered. Results. This study first developed seven factors, namely Technological Knowledge (TK), Pedagogical Knowledge (PK), Content Knowledge (CK), Pedagogical Content Knowledge (PCK), Technological Pedagogical Knowledge (TPK), Technological Content Knowledge (TCK), and Technological, Pedagogical and Content Knowledge (TPACK), consisting of 39 items. However, four items were removed because their factor loading was below 0.50. As a result, 35 items were retained as the factor loading was significantly greater than .50. The Cronbach's alpha value for each item of the TPACK construct was &gt; .60 and met all the criteria of goodness of fit index, which means that it meets the requirements and can measure the TPACK construct in measuring job readiness of prospective teachers in Indonesia. As this study fulfills the requirements of validity and reliability of the constructs that lead to TPACK, the results of this s…","author":[{"dropping-particle":"","family":"Handayani","given":"S","non-dropping-particle":"","parse-names":false,"suffix":""},{"dropping-particle":"","family":"Hussin","given":"M","non-dropping-particle":"","parse-names":false,"suffix":""},{"dropping-particle":"","family":"Norman","given":"H","non-dropping-particle":"","parse-names":false,"suffix":""}],"container-title":"Perspektivy Nauki i Obrazovania","id":"ITEM-5","issue":"2","issued":{"date-parts":[["2024"]]},"note":"Export Date: 12 February 2026; Cited By: 0","page":"679-698","title":"Evaluating teaching readiness using the TPACK model: factor, reliability and validity analyses for Indonesian economics teacher candidates","type":"article-journal","volume":"68"},"uris":["http://www.mendeley.com/documents/?uuid=4db7c4dd-df22-439b-a6ec-db11604837b8"]}],"mendeley":{"formattedCitation":"(Ganapathy et al., 2017; Handayani et al., 2024; Lu et al., 2025; Polly, 2010; Yanuarto et al., 2023)","manualFormatting":"(Yanuarto et al., 2023)","plainTextFormattedCitation":"(Ganapathy et al., 2017; Handayani et al., 2024; Lu et al., 2025; Polly, 2010; Yanuarto et al., 2023)","previouslyFormattedCitation":"(Ganapathy et al., 2017; Handayani et al., 2024; Lu et al., 2025; Polly, 2010; Yanuarto et al., 2023)"},"properties":{"noteIndex":0},"schema":"https://github.com/citation-style-language/schema/raw/master/csl-citation.json"}</w:instrText>
      </w:r>
      <w:r w:rsidRPr="00A37A64">
        <w:rPr>
          <w:rFonts w:ascii="Times New Roman" w:eastAsia="Times New Roman" w:hAnsi="Times New Roman" w:cs="Times New Roman"/>
          <w:sz w:val="24"/>
          <w:szCs w:val="24"/>
        </w:rPr>
        <w:fldChar w:fldCharType="separate"/>
      </w:r>
      <w:r w:rsidRPr="00A37A64">
        <w:rPr>
          <w:rFonts w:ascii="Times New Roman" w:eastAsia="Times New Roman" w:hAnsi="Times New Roman" w:cs="Times New Roman"/>
          <w:sz w:val="24"/>
          <w:szCs w:val="24"/>
        </w:rPr>
        <w:t>(Yanuarto et al., 2023)</w:t>
      </w:r>
      <w:r w:rsidRPr="00A37A64">
        <w:rPr>
          <w:rFonts w:ascii="Times New Roman" w:eastAsia="Times New Roman" w:hAnsi="Times New Roman" w:cs="Times New Roman"/>
          <w:sz w:val="24"/>
          <w:szCs w:val="24"/>
          <w:lang w:val="id-ID"/>
        </w:rPr>
        <w:fldChar w:fldCharType="end"/>
      </w:r>
      <w:r w:rsidRPr="00A37A64">
        <w:rPr>
          <w:rFonts w:ascii="Times New Roman" w:eastAsia="Times New Roman" w:hAnsi="Times New Roman" w:cs="Times New Roman"/>
          <w:sz w:val="24"/>
          <w:szCs w:val="24"/>
        </w:rPr>
        <w:t>.</w:t>
      </w:r>
    </w:p>
    <w:p w14:paraId="66E806CF" w14:textId="77777777" w:rsidR="00A37A64" w:rsidRPr="00A37A64" w:rsidRDefault="00A37A64" w:rsidP="00A37A64">
      <w:pPr>
        <w:spacing w:before="120" w:after="120" w:line="240" w:lineRule="auto"/>
        <w:jc w:val="both"/>
        <w:rPr>
          <w:rFonts w:ascii="Times New Roman" w:eastAsia="Times New Roman" w:hAnsi="Times New Roman" w:cs="Times New Roman"/>
          <w:sz w:val="24"/>
          <w:szCs w:val="24"/>
        </w:rPr>
      </w:pPr>
      <w:r w:rsidRPr="00A37A64">
        <w:rPr>
          <w:rFonts w:ascii="Times New Roman" w:eastAsia="Times New Roman" w:hAnsi="Times New Roman" w:cs="Times New Roman"/>
          <w:sz w:val="24"/>
          <w:szCs w:val="24"/>
        </w:rPr>
        <w:lastRenderedPageBreak/>
        <w:t xml:space="preserve">In addition to media accuracy, student activities during learning are also an important factor in increasing HOTS. In line with research </w:t>
      </w:r>
      <w:r w:rsidRPr="00A37A64">
        <w:rPr>
          <w:rFonts w:ascii="Times New Roman" w:eastAsia="Times New Roman" w:hAnsi="Times New Roman" w:cs="Times New Roman"/>
          <w:sz w:val="24"/>
          <w:szCs w:val="24"/>
        </w:rPr>
        <w:fldChar w:fldCharType="begin" w:fldLock="1"/>
      </w:r>
      <w:r w:rsidRPr="00A37A64">
        <w:rPr>
          <w:rFonts w:ascii="Times New Roman" w:eastAsia="Times New Roman" w:hAnsi="Times New Roman" w:cs="Times New Roman"/>
          <w:sz w:val="24"/>
          <w:szCs w:val="24"/>
        </w:rPr>
        <w:instrText>ADDIN CSL_CITATION {"citationItems":[{"id":"ITEM-1","itemData":{"DOI":"10.47233/jpdsk.v1i2.15","author":[{"dropping-particle":"","family":"Khaira","given":"Nisa","non-dropping-particle":"","parse-names":false,"suffix":""}],"container-title":"Jurnal Pendidikan Sosial Dan Konseling","id":"ITEM-1","issue":"3","issued":{"date-parts":[["2023"]]},"page":"515-521","title":"Meningkatkan Kemampuan Berpikir Kritis &amp; Hasil Belajar Menggunakan Model PBL Dengan Pendekatan Tpack","type":"article-journal","volume":"1"},"uris":["http://www.mendeley.com/documents/?uuid=19f13958-63a3-3777-867a-4b5c3c310a71"]}],"mendeley":{"formattedCitation":"(Khaira, 2023)","plainTextFormattedCitation":"(Khaira, 2023)","previouslyFormattedCitation":"(Khaira, 2023)"},"properties":{"noteIndex":0},"schema":"https://github.com/citation-style-language/schema/raw/master/csl-citation.json"}</w:instrText>
      </w:r>
      <w:r w:rsidRPr="00A37A64">
        <w:rPr>
          <w:rFonts w:ascii="Times New Roman" w:eastAsia="Times New Roman" w:hAnsi="Times New Roman" w:cs="Times New Roman"/>
          <w:sz w:val="24"/>
          <w:szCs w:val="24"/>
        </w:rPr>
        <w:fldChar w:fldCharType="separate"/>
      </w:r>
      <w:r w:rsidRPr="00A37A64">
        <w:rPr>
          <w:rFonts w:ascii="Times New Roman" w:eastAsia="Times New Roman" w:hAnsi="Times New Roman" w:cs="Times New Roman"/>
          <w:sz w:val="24"/>
          <w:szCs w:val="24"/>
        </w:rPr>
        <w:t>(Khaira, 2023)</w:t>
      </w:r>
      <w:r w:rsidRPr="00A37A64">
        <w:rPr>
          <w:rFonts w:ascii="Times New Roman" w:eastAsia="Times New Roman" w:hAnsi="Times New Roman" w:cs="Times New Roman"/>
          <w:sz w:val="24"/>
          <w:szCs w:val="24"/>
          <w:lang w:val="id-ID"/>
        </w:rPr>
        <w:fldChar w:fldCharType="end"/>
      </w:r>
      <w:r w:rsidRPr="00A37A64">
        <w:rPr>
          <w:rFonts w:ascii="Times New Roman" w:eastAsia="Times New Roman" w:hAnsi="Times New Roman" w:cs="Times New Roman"/>
          <w:sz w:val="24"/>
          <w:szCs w:val="24"/>
        </w:rPr>
        <w:t xml:space="preserve">, active student activities are able to create a healthy and productive learning environment. For example, the use of google sites At the investigation stage, students are encouraged to remain focused and enthusiastic in identifying Newton's legal concepts. This kind of active participation is a prerequisite for achieving HOTS, because analytical and evaluation skills can only develop if learners are fully involved in the search for solutions, rather than simply passive recipients of information </w:t>
      </w:r>
      <w:r w:rsidRPr="00A37A64">
        <w:rPr>
          <w:rFonts w:ascii="Times New Roman" w:eastAsia="Times New Roman" w:hAnsi="Times New Roman" w:cs="Times New Roman"/>
          <w:sz w:val="24"/>
          <w:szCs w:val="24"/>
        </w:rPr>
        <w:fldChar w:fldCharType="begin" w:fldLock="1"/>
      </w:r>
      <w:r w:rsidRPr="00A37A64">
        <w:rPr>
          <w:rFonts w:ascii="Times New Roman" w:eastAsia="Times New Roman" w:hAnsi="Times New Roman" w:cs="Times New Roman"/>
          <w:sz w:val="24"/>
          <w:szCs w:val="24"/>
        </w:rPr>
        <w:instrText>ADDIN CSL_CITATION {"citationItems":[{"id":"ITEM-1","itemData":{"DOI":"10.4018/978-1-59904-881-9.ch126","abstract":"The importance of a student’s involvement in learning is well documented and well known. It is easy to sum up research related to active learning by simply saying, “students who participate in the learning process learn more than those who do not” (Weaver &amp; Qi, 2005, p. 570). Active learning seeks to create a learner-centered environment and engage students as active participants in their education. The opposite of this is passive learning, which is thought of as the traditional way of teaching where the professor is a subject matter expert whose role is to convey the knowledge to an audience of students (Barr &amp; Tagg, 1995). While the success of active learning is well documented, some instructors may find it difficult to fully engage students as active learners in the classroom. Active learning requires student participation, which is easier for some students than it is for others. Larkin and Pines (2003) found theF common practice of calling on students to promote active learning in the classroom resulted in a “clear and unmistakable pattern of avoidance behavior as reported by both male and female students” because many students seek ways to avoid the psychologically unpleasant situation of providing the wrong answer and looking foolish. Larkin and Pines (2003) argue that if a student’s emotional and cognitive resources become directed towards avoiding the immediate threat of being called on, then arguably the practice of calling on students may reduce active learning, which was the intended goal of calling on the student in the first place. Fortunately, educational technologies are able to assist in this challenge. © 2008 by IGI Global. All rights reserved.","author":[{"dropping-particle":"","family":"Byrnes","given":"L","non-dropping-particle":"","parse-names":false,"suffix":""},{"dropping-particle":"","family":"Etter","given":"S J","non-dropping-particle":"","parse-names":false,"suffix":""}],"container-title":"Encyclopedia of Information Technology Curriculum Integration","id":"ITEM-1","issued":{"date-parts":[["2008"]]},"note":"Export Date: 12 February 2026; Cited By: 3","page":"803-807","title":"Student Response Systems for Active Learning","type":"chapter"},"uris":["http://www.mendeley.com/documents/?uuid=02ef5783-1b63-44c6-9f06-55ccdef84dd7"]},{"id":"ITEM-2","itemData":{"DOI":"10.1080/14703297.2025.2539776","abstract":"This study investigates the relationship between academic recognition, student attendance, and academic performance among 422 final-year Business and Management students in UK higher education. Building on existing literature emphasising the importance of consistent participation in learning, the research highlights active learning as crucial for fostering deeper student engagement beyond traditional lecture methods. Using a positivist deductive approach, data on attendance, quiz performance, and final grades were collected and analysed with SPSS. The results show a significant positive correlation between attendance, continuous quiz performance, and final grades, with correlation coefficients for attendance and final grades (0.482), quiz scores and final grades (0.403), and attendance and quiz scores (0.544). These findings underscore the value of continuous engagement, suggesting that integrating recognition-based formative assessments, such as quizzes, into the curriculum could enhance student performance. The study concludes that academic recognition and active participation are key to improving educational outcomes. © 2025 The Author(s). Published by Informa UK Limited, trading as Taylor &amp; Francis Group.","author":[{"dropping-particle":"","family":"NasirpourOsgoei","given":"S N","non-dropping-particle":"","parse-names":false,"suffix":""},{"dropping-particle":"","family":"Obembe","given":"D","non-dropping-particle":"","parse-names":false,"suffix":""}],"container-title":"Innovations in Education and Teaching International","id":"ITEM-2","issued":{"date-parts":[["2025"]]},"note":"Export Date: 12 February 2026; Cited By: 0","title":"Enhancing academic performance through attendance and recognition: An active learning approach in UK higher education","type":"article-journal"},"uris":["http://www.mendeley.com/documents/?uuid=a6ef835d-f3f9-4641-b2ab-190888abbbed"]},{"id":"ITEM-3","itemData":{"abstract":"Active student participation has been correlated with a variety of positive outcomes including improved critical thinking, development of important professional skills (including communication and interpersonal interaction skills), increased understanding of course material, and better academic performance across diverse disciplines, including engineering [1]-[5]. Put simply by Weaver and Qi [6], students who actively participate in the learning process learn more than those who do not. In order to motivate students to take advantage of these benefits, participation has increasingly been included in course syllabi as an expected student behavior, often as a formally graded requirement [1], [2], [4], [5], [7], [8]. However, formally assessing participation requires at least an implicit decision on the part of the instructor as to what constitutes participation for their course. Further complication to the process of fairly assessing participation occurs when instructors seek to encourage participation from students who are less familiar with the expectations of an active learning environment. The purpose of this work-in-progress paper is to describe a recent effort to standardize the assessment of course engagement through self-reflection logs in an English-taught engineering program in China. The objective was to encourage and reward impactful participation behaviors without creating exorbitant extra work for students or instructors. This paper focuses on the conceptualization and initial implementation of the assessment scheme and also includes preliminary analysis of student impressions of its impact on their behavior and performance. © American Society for Engineering Education 2020.","author":[{"dropping-particle":"","family":"Ramo","given":"N L","non-dropping-particle":"","parse-names":false,"suffix":""},{"dropping-particle":"","family":"Hald","given":"E S","non-dropping-particle":"","parse-names":false,"suffix":""},{"dropping-particle":"","family":"Huang-Saad","given":"A","non-dropping-particle":"","parse-names":false,"suffix":""},{"dropping-particle":"","family":"Fang","given":"Q","non-dropping-particle":"","parse-names":false,"suffix":""}],"container-title":"ASEE Annual Conference and Exposition, Conference Proceedings","id":"ITEM-3","issued":{"date-parts":[["2020"]]},"note":"Export Date: 12 February 2026; Cited By: 0","title":"Work-in-Progress: The development and implementation of self-reflection participation logs in an English-taught engineering program in China","type":"paper-conference","volume":"2020-June"},"uris":["http://www.mendeley.com/documents/?uuid=517d973f-c6c0-414f-8ad3-2a055f430ddc"]},{"id":"ITEM-4","itemData":{"DOI":"10.1109/MITE.2016.69","abstract":"Higher-order thinking, known as higher order thinking skills (HOTS), is a conception of education reorganization based on learning taxonomy. Skills involving analysis, evaluation and synthesis are considered to be of higher order, requiring diverse learning and teaching methods than the customary learning of facts and concepts. HOTS involves the learning of complex judgmental skills such as critical thinking and problem solving. They are activated when individuals encounter unfamiliar problems, uncertainties, questions, or dilemmas. Successful application of the skills results in justifications, decisions, performances, and products that are valid within the context of existing knowledge that encourages continued growth in other intellectual skills. The major difficulty in attaining HOTS among engineering students is that we still pursue the traditional approach of teacher-centered classroom where the teacher is an active transmitter and the students are passive recipients. To achieve HOTS among engineering students we establish an Active Learning Environment (ALE) with the effective usage of Information and communication technologies (ICT). Active learning is embodied in a learning environment where the teachers and students are actively engaged with the content through discussions, problem-solving, critical thinking, or a multitude of activities that encourage interaction among learners, instructors and the material. Supporting to active learning, the ICT usage lends itself to more student-centered learning. This paper demonstrates the strategies to achieve HOTS through various ALE strategies like Role Play, Jigsaw, Brainstorming, debate, Mind map etc for Concept Understanding and Group assignments, combined mini projects, Discussion on Topics, Quiz, and Puzzles for Concept Applying. We have applied various learning strategies and assessed the student outcomes. HOTS is achieved by developing applications or products, with improved inter personal skills and lifelong learning skills. The evidence for the effectiveness of ALE among engineering students is showed by great improvement in their academic result, placement record and research interests. © 2016 IEEE.","author":[{"dropping-particle":"","family":"Asok","given":"D","non-dropping-particle":"","parse-names":false,"suffix":""},{"dropping-particle":"","family":"Abirami","given":"A M","non-dropping-particle":"","parse-names":false,"suffix":""},{"dropping-particle":"","family":"Angeline CV","given":"N","non-dropping-particle":"","parse-names":false,"suffix":""},{"dropping-particle":"","family":"Lavanya","given":"R","non-dropping-particle":"","parse-names":false,"suffix":""}],"container-title":"Proceedings - 2016 IEEE 4th International Conference on MOOCs, Innovation and Technology in Education, MITE 2016","id":"ITEM-4","issued":{"date-parts":[["2017"]]},"note":"Export Date: 05 September 2025; Cited By: 35","page":"47-53","title":"Active learning environment for achieving higher-order thinking skills in engineering education","type":"paper-conference"},"uris":["http://www.mendeley.com/documents/?uuid=caa62078-e16b-4156-b08d-f896bfae5be2"]},{"id":"ITEM-5","itemData":{"DOI":"10.1080/10511250500336161","abstract":"Active learning techniques have long been shown to increase the extent to which students are able to think critically about problems and solutions to them. The extant research suggests that efforts to engage students in higher order thinking should extend beyond the typical setting in which the more advanced students are introduced to active learning techniques. White and Frederiksen (2000) have found that most students, regardless of achievement levels, can reach a higher order thinking level when they are encouraged to do so. This paper explores several issues associated with active learning techniques in the general sense and then uses examples to demonstrate how such techniques can and are being used on the criminal justice classroom. The pros and cons of using active learning techniques are also discussed. *An earlier version of this paper was first presented at the 2004 Annual Meeting of the American Society of Criminology. The author would like to thank three anonymous reviewers for their thoughtful comments on this paper. The paper is much improved because of their insights. © 2006, Academy of Criminal Justice Sciences.","author":[{"dropping-particle":"","family":"Sims","given":"B","non-dropping-particle":"","parse-names":false,"suffix":""}],"container-title":"Journal of Criminal Justice Education","id":"ITEM-5","issue":"2","issued":{"date-parts":[["2006"]]},"note":"Export Date: 12 February 2026; Cited By: 23","page":"336-357","title":"Creating a Teaching and Learning Environment in Criminal Justice Courses that Promotes Higher Order Thinking","type":"article-journal","volume":"17"},"uris":["http://www.mendeley.com/documents/?uuid=02728528-59f7-4ffc-9460-6848d8f519bd"]}],"mendeley":{"formattedCitation":"(Asok et al., 2017; Byrnes &amp; Etter, 2008; NasirpourOsgoei &amp; Obembe, 2025; Ramo et al., 2020; Sims, 2006)","manualFormatting":"(NasirpourOsgoei &amp; Obembe, 2025)","plainTextFormattedCitation":"(Asok et al., 2017; Byrnes &amp; Etter, 2008; NasirpourOsgoei &amp; Obembe, 2025; Ramo et al., 2020; Sims, 2006)","previouslyFormattedCitation":"(Asok et al., 2017; Byrnes &amp; Etter, 2008; NasirpourOsgoei &amp; Obembe, 2025; Ramo et al., 2020; Sims, 2006)"},"properties":{"noteIndex":0},"schema":"https://github.com/citation-style-language/schema/raw/master/csl-citation.json"}</w:instrText>
      </w:r>
      <w:r w:rsidRPr="00A37A64">
        <w:rPr>
          <w:rFonts w:ascii="Times New Roman" w:eastAsia="Times New Roman" w:hAnsi="Times New Roman" w:cs="Times New Roman"/>
          <w:sz w:val="24"/>
          <w:szCs w:val="24"/>
        </w:rPr>
        <w:fldChar w:fldCharType="separate"/>
      </w:r>
      <w:r w:rsidRPr="00A37A64">
        <w:rPr>
          <w:rFonts w:ascii="Times New Roman" w:eastAsia="Times New Roman" w:hAnsi="Times New Roman" w:cs="Times New Roman"/>
          <w:sz w:val="24"/>
          <w:szCs w:val="24"/>
        </w:rPr>
        <w:t>(NasirpourOsgoei &amp; Obembe, 2025)</w:t>
      </w:r>
      <w:r w:rsidRPr="00A37A64">
        <w:rPr>
          <w:rFonts w:ascii="Times New Roman" w:eastAsia="Times New Roman" w:hAnsi="Times New Roman" w:cs="Times New Roman"/>
          <w:sz w:val="24"/>
          <w:szCs w:val="24"/>
          <w:lang w:val="id-ID"/>
        </w:rPr>
        <w:fldChar w:fldCharType="end"/>
      </w:r>
      <w:r w:rsidRPr="00A37A64">
        <w:rPr>
          <w:rFonts w:ascii="Times New Roman" w:eastAsia="Times New Roman" w:hAnsi="Times New Roman" w:cs="Times New Roman"/>
          <w:sz w:val="24"/>
          <w:szCs w:val="24"/>
        </w:rPr>
        <w:t>.</w:t>
      </w:r>
    </w:p>
    <w:p w14:paraId="10C9DDC3" w14:textId="77777777" w:rsidR="00A37A64" w:rsidRPr="00A37A64" w:rsidRDefault="00A37A64" w:rsidP="00A37A64">
      <w:pPr>
        <w:spacing w:before="120" w:after="120" w:line="240" w:lineRule="auto"/>
        <w:jc w:val="both"/>
        <w:rPr>
          <w:rFonts w:ascii="Times New Roman" w:eastAsia="Times New Roman" w:hAnsi="Times New Roman" w:cs="Times New Roman"/>
          <w:sz w:val="24"/>
          <w:szCs w:val="24"/>
        </w:rPr>
      </w:pPr>
      <w:r w:rsidRPr="00A37A64">
        <w:rPr>
          <w:rFonts w:ascii="Times New Roman" w:eastAsia="Times New Roman" w:hAnsi="Times New Roman" w:cs="Times New Roman"/>
          <w:sz w:val="24"/>
          <w:szCs w:val="24"/>
        </w:rPr>
        <w:t>The effectiveness of this model is also seen in the analysis indicator which increased drastically from  a pretest score  of 2.73 to 17.73 in the posttest  of experimental group 1. This increase shows the success of the stage of organizing learning tasks, where students are trained to decipher the elements of force in the situation of inclined planes and dependent objects. In accordance with the revised bloom taxonomy, the process of decomposing the material into small components is greatly helped by the visualization of PPt and PhET simulation. Without the support of technology, learners tend to have difficulty distinguishing complex information, as experienced by the control group.</w:t>
      </w:r>
    </w:p>
    <w:p w14:paraId="4F4A9055" w14:textId="77777777" w:rsidR="00A37A64" w:rsidRPr="00A37A64" w:rsidRDefault="00A37A64" w:rsidP="00A37A64">
      <w:pPr>
        <w:spacing w:before="120" w:after="120" w:line="240" w:lineRule="auto"/>
        <w:jc w:val="both"/>
        <w:rPr>
          <w:rFonts w:ascii="Times New Roman" w:eastAsia="Times New Roman" w:hAnsi="Times New Roman" w:cs="Times New Roman"/>
          <w:sz w:val="24"/>
          <w:szCs w:val="24"/>
        </w:rPr>
      </w:pPr>
      <w:r w:rsidRPr="00A37A64">
        <w:rPr>
          <w:rFonts w:ascii="Times New Roman" w:eastAsia="Times New Roman" w:hAnsi="Times New Roman" w:cs="Times New Roman"/>
          <w:sz w:val="24"/>
          <w:szCs w:val="24"/>
        </w:rPr>
        <w:t xml:space="preserve">This research also supports the view that HOTS is very important to equip students to face future challenges. The achievement of a maximum score of 100 in experimental group 1 shows that every student, regardless of their ability background, has the potential to achieve the highest cognitive level if supported by a learning model that is adaptive to technology. The results of this study prove that the PBL model integrated with TPACK not only increases grades, but also invites students to find answers directly </w:t>
      </w:r>
      <w:r w:rsidRPr="00A37A64">
        <w:rPr>
          <w:rFonts w:ascii="Times New Roman" w:eastAsia="Times New Roman" w:hAnsi="Times New Roman" w:cs="Times New Roman"/>
          <w:sz w:val="24"/>
          <w:szCs w:val="24"/>
        </w:rPr>
        <w:fldChar w:fldCharType="begin" w:fldLock="1"/>
      </w:r>
      <w:r w:rsidRPr="00A37A64">
        <w:rPr>
          <w:rFonts w:ascii="Times New Roman" w:eastAsia="Times New Roman" w:hAnsi="Times New Roman" w:cs="Times New Roman"/>
          <w:sz w:val="24"/>
          <w:szCs w:val="24"/>
        </w:rPr>
        <w:instrText>ADDIN CSL_CITATION {"citationItems":[{"id":"ITEM-1","itemData":{"DOI":"10.46328/ijemst.2510","abstract":"This research aims to determine whether there is an influence of applying the Problem Based Learning (PBL) Model with the Technological, Pedagogical, and Content Knowledge (TPACK) Approach on the historical learning outcomes of high school students of Sultan Iskandar Muda Medan. This study uses a quasi-experiment research method. The population in this study involves all students of class XI of High School (SMA) Sultan Iskandar Muda Medan, with a sample of class XI of Social Sciences (IPS) 1 as an experiment class and class XI of Social Sciences (IPS) 3 as a control class selected by simple random sampling method. The experiment class is taught with the PBL Model with the TPACK Approach, while the control class is taught with the Discovery Learning Model. The research instrument used is in the form of test questions totaling 25 multiple choice questions that have been declared valid. In this study, two stages of the test were given, namely pretest and posttest, in the form of multiple-choice questions that have been declared valid. The pretest is given to both sample classes to determine the student's initial ability before being given treatment, while the posttest is given to both sample classes to determine the final ability of learners after treatment. Based on posttest data, the experiment class obtained an average score of 80.3 and an average score in the control class of 68.4. The data proved to be a normal and homogeneous distribution through statistical test analysis, so a hypothesis test was carried out, namely a one-party t-test that showed a significance level of α = 0.05. Thus, Ho was rejected, and Ha was accepted, meaning that there was an influence of the PBL Model with the TPACK Approach on the historical learning outcomes of the high school students. © 2022 International Journal of Education in Mathematics, Science and Technology. All rights reserved.","author":[{"dropping-particle":"","family":"Tanjung","given":"S","non-dropping-particle":"","parse-names":false,"suffix":""},{"dropping-particle":"","family":"Ampera","given":"D","non-dropping-particle":"","parse-names":false,"suffix":""},{"dropping-particle":"","family":"Jahidin","given":"I","non-dropping-particle":"","parse-names":false,"suffix":""}],"container-title":"International Journal of Education in Mathematics, Science and Technology","id":"ITEM-1","issue":"3","issued":{"date-parts":[["2022"]]},"note":"Export Date: 12 February 2026; Cited By: 8","page":"740-752","title":"Problem Based Learning (PBL) Model with Technological, Pedagogical, and Content Knowledge (TPACK) Approach","type":"article-journal","volume":"10"},"uris":["http://www.mendeley.com/documents/?uuid=01c1f7ba-b8a9-4262-82f9-95896c85fea1"]},{"id":"ITEM-2","itemData":{"DOI":"10.24191/AJUE.V20I1.26027","abstract":"This study investigated the effectiveness of incorporating the 5E learning cycle model and problem-based learning (PBL) to enhance students’ scientific article writing skills. The study included 58 participants from Universitas Asahan, employing pre-test and post-test group designs. This study utilized descriptive and experimental research methods to analyze the data. Results indicated that classes that implemented the Technological Pedagogical Content Knowledge/TPACK-based 5E-PBL learning cycle model attained an average score of 86.03, while classes that did not integrate this model achieved an average score of 76.81. Significantly higher mean scores were observed among students exposed to the experimental condition. The normality test results indicated that Lcount &lt; Ltable, where the p-value was &gt; 0.05, validating the normal distribution of data for both experimental and control groups. Additionally, the homogeneity test revealed that Fcount &lt; Ftable, demonstrating sample homogeneity. The findings support the effectiveness of the TPACK-based 5E-PBL learning cycle model in improving students’ scientific article writing abilities. © (2024), (UiTM Press). All rights reserved.","author":[{"dropping-particle":"","family":"Nisa","given":"K","non-dropping-particle":"","parse-names":false,"suffix":""},{"dropping-particle":"","family":"Ramadhan","given":"S","non-dropping-particle":"","parse-names":false,"suffix":""},{"dropping-particle":"","family":"Thahar","given":"H E","non-dropping-particle":"","parse-names":false,"suffix":""}],"container-title":"Asian Journal of University Education","id":"ITEM-2","issue":"1","issued":{"date-parts":[["2024"]]},"note":"Export Date: 12 February 2026; Cited By: 1","page":"185-196","title":"Effectiveness of the 5E Learning Cycle and Problem-Based Learning in Writing Scientific Article Based on TPACK","type":"article-journal","volume":"20"},"uris":["http://www.mendeley.com/documents/?uuid=cbc0d12f-1fd5-4b01-970a-95c224d12603"]},{"id":"ITEM-3","itemData":{"DOI":"10.11606/issn.2176-7262.v47i3p301-307","abstract":"The Problem-Based Learning (PBL), introduced at McMaster University School of Medicine, Canada, in 1969, is a student-centered pedagogical approach based on critical thinking and problem solving. In order to solve a problem, students use their prior knowledge, discuss, study, acquire and integrate new information. This learning integration, combined with a practical application, facilitates knowledge retention. Therefore, students become actively involved in the learning process and improve the capacity of learn how to learn. PBL has several advantages, such as, it stimulates the development of autonomy on learning; interdisciplinary; integration of knowledge and practice; development of teamwork, critical thinking and communication skills; and continuing education. However, to be able to implement PBL on curriculum, it's necessary investments in human and material resources, including a well-structured training program for teachers and students.","author":[{"dropping-particle":"","family":"Borges","given":"M C","non-dropping-particle":"","parse-names":false,"suffix":""},{"dropping-particle":"","family":"Chachá","given":"S G F","non-dropping-particle":"","parse-names":false,"suffix":""},{"dropping-particle":"","family":"Quintana","given":"S M","non-dropping-particle":"","parse-names":false,"suffix":""},{"dropping-particle":"","family":"Freitas","given":"L C C","non-dropping-particle":"","parse-names":false,"suffix":""},{"dropping-particle":"V","family":"Rodrigues","given":"M L","non-dropping-particle":"","parse-names":false,"suffix":""}],"container-title":"Medicina (Brazil)","id":"ITEM-3","issue":"3","issued":{"date-parts":[["2014"]]},"note":"Export Date: 12 February 2026; Cited By: 6","page":"301-307","title":"Problem-based learning","type":"article-journal","volume":"47"},"uris":["http://www.mendeley.com/documents/?uuid=37f582b3-dacb-491b-b0e3-97694969f7c3"]},{"id":"ITEM-4","itemData":{"DOI":"10.1007/978-981-287-230-2_10","abstract":"Problem-based learning (PBL), an application of the constructivist student-centered approach to learning is recognised as a viable pedagogy in initial teacher education. Proponents of PBL contended that the benefits of PBL included an early exposure to professional settings, heightened self-generated motivation arising from the obvious application of knowledge acquired and the acquisition of various learning skills, which assisted them in becoming lifelong learners. The twenty-first century is characterised by the accessibility of information, innovation-driven growth and rapid advancement in technologies. This chapter explores how technology can be harnessed to scaffold pre-service teachers' PBL experience. In addition, from the perspectives of educational leaders, the tensions and implications of incorporating technology in PBL are discussed to obtain a more accurate picture of employing PBL as a pedagogical tool. © Springer Science+Business Media Singapore 2015.","author":[{"dropping-particle":"","family":"Chua","given":"B L","non-dropping-particle":"","parse-names":false,"suffix":""},{"dropping-particle":"","family":"Tan","given":"O S","non-dropping-particle":"","parse-names":false,"suffix":""},{"dropping-particle":"","family":"Liu","given":"W C","non-dropping-particle":"","parse-names":false,"suffix":""}],"container-title":"Motivation, Leadership and Curriculum Design: Engaging the Net Generation and 21st Century Learners","id":"ITEM-4","issued":{"date-parts":[["2015"]]},"note":"Export Date: 12 February 2026; Cited By: 9","page":"119-135","title":"Using technology to scaffold problem-based learning in teacher education: Its tensions and implications for educational leaders","type":"chapter"},"uris":["http://www.mendeley.com/documents/?uuid=211c14a6-d171-4d98-b9e2-498e9147b004"]}],"mendeley":{"formattedCitation":"(Borges et al., 2014; Chua et al., 2015; Nisa et al., 2024; Tanjung et al., 2022)","manualFormatting":"(Tanjung et al., 2022)","plainTextFormattedCitation":"(Borges et al., 2014; Chua et al., 2015; Nisa et al., 2024; Tanjung et al., 2022)","previouslyFormattedCitation":"(Borges et al., 2014; Chua et al., 2015; Nisa et al., 2024; Tanjung et al., 2022)"},"properties":{"noteIndex":0},"schema":"https://github.com/citation-style-language/schema/raw/master/csl-citation.json"}</w:instrText>
      </w:r>
      <w:r w:rsidRPr="00A37A64">
        <w:rPr>
          <w:rFonts w:ascii="Times New Roman" w:eastAsia="Times New Roman" w:hAnsi="Times New Roman" w:cs="Times New Roman"/>
          <w:sz w:val="24"/>
          <w:szCs w:val="24"/>
        </w:rPr>
        <w:fldChar w:fldCharType="separate"/>
      </w:r>
      <w:r w:rsidRPr="00A37A64">
        <w:rPr>
          <w:rFonts w:ascii="Times New Roman" w:eastAsia="Times New Roman" w:hAnsi="Times New Roman" w:cs="Times New Roman"/>
          <w:sz w:val="24"/>
          <w:szCs w:val="24"/>
        </w:rPr>
        <w:t>(Tanjung et al., 2022)</w:t>
      </w:r>
      <w:r w:rsidRPr="00A37A64">
        <w:rPr>
          <w:rFonts w:ascii="Times New Roman" w:eastAsia="Times New Roman" w:hAnsi="Times New Roman" w:cs="Times New Roman"/>
          <w:sz w:val="24"/>
          <w:szCs w:val="24"/>
          <w:lang w:val="id-ID"/>
        </w:rPr>
        <w:fldChar w:fldCharType="end"/>
      </w:r>
      <w:r w:rsidRPr="00A37A64">
        <w:rPr>
          <w:rFonts w:ascii="Times New Roman" w:eastAsia="Times New Roman" w:hAnsi="Times New Roman" w:cs="Times New Roman"/>
          <w:sz w:val="24"/>
          <w:szCs w:val="24"/>
        </w:rPr>
        <w:t>.</w:t>
      </w:r>
    </w:p>
    <w:p w14:paraId="5BCE0D6A" w14:textId="01250965" w:rsidR="00914E0E" w:rsidRDefault="00A37A64" w:rsidP="00A37A64">
      <w:pPr>
        <w:spacing w:before="120" w:after="120" w:line="240" w:lineRule="auto"/>
        <w:jc w:val="both"/>
        <w:rPr>
          <w:rFonts w:ascii="Times New Roman" w:eastAsia="Times New Roman" w:hAnsi="Times New Roman" w:cs="Times New Roman"/>
          <w:bCs/>
          <w:sz w:val="24"/>
          <w:szCs w:val="24"/>
        </w:rPr>
      </w:pPr>
      <w:r w:rsidRPr="00A37A64">
        <w:rPr>
          <w:rFonts w:ascii="Times New Roman" w:eastAsia="Times New Roman" w:hAnsi="Times New Roman" w:cs="Times New Roman"/>
          <w:sz w:val="24"/>
          <w:szCs w:val="24"/>
        </w:rPr>
        <w:t>The quantitative data in this study confirms that the integration of PBL and TPACK models is an approach that is relevant to global education trends in honing 21st century competencies. The integration between real-world problem solving processes and technological sophistication not only turns physics learning into a challenging discovery process, but also has an impact in the form of increasing grades as well as strengthening critical thinking and creativity that equips students with the ability of HOTS to become independent and innovative thinkers in the future.</w:t>
      </w:r>
    </w:p>
    <w:p w14:paraId="1C19E500" w14:textId="4186FDEA" w:rsidR="0006115B" w:rsidRDefault="00914E0E" w:rsidP="00B74622">
      <w:pPr>
        <w:spacing w:before="120" w:after="120" w:line="240" w:lineRule="auto"/>
        <w:jc w:val="both"/>
        <w:rPr>
          <w:rFonts w:ascii="Times New Roman" w:eastAsia="Times New Roman" w:hAnsi="Times New Roman" w:cs="Times New Roman"/>
          <w:b/>
          <w:color w:val="0070C0"/>
          <w:sz w:val="24"/>
          <w:szCs w:val="24"/>
        </w:rPr>
      </w:pPr>
      <w:r>
        <w:rPr>
          <w:rFonts w:ascii="Times New Roman" w:eastAsia="Times New Roman" w:hAnsi="Times New Roman" w:cs="Times New Roman"/>
          <w:b/>
          <w:color w:val="0070C0"/>
          <w:sz w:val="24"/>
          <w:szCs w:val="24"/>
        </w:rPr>
        <w:t>Conclusion</w:t>
      </w:r>
    </w:p>
    <w:p w14:paraId="67B5C681" w14:textId="53161637" w:rsidR="0006115B" w:rsidRDefault="00A37A64" w:rsidP="007E7B00">
      <w:pPr>
        <w:spacing w:before="120" w:after="120" w:line="240" w:lineRule="auto"/>
        <w:jc w:val="both"/>
        <w:rPr>
          <w:rFonts w:ascii="Times New Roman" w:eastAsia="Times New Roman" w:hAnsi="Times New Roman" w:cs="Times New Roman"/>
          <w:bCs/>
          <w:sz w:val="24"/>
          <w:szCs w:val="24"/>
        </w:rPr>
      </w:pPr>
      <w:r w:rsidRPr="00A37A64">
        <w:rPr>
          <w:rFonts w:ascii="Times New Roman" w:eastAsia="Times New Roman" w:hAnsi="Times New Roman" w:cs="Times New Roman"/>
          <w:bCs/>
          <w:sz w:val="24"/>
          <w:szCs w:val="24"/>
        </w:rPr>
        <w:t>The application of the TPACK integrated PBL model has proven to significantly increase the HOTS of grade XI MAN 1 Jambi City students in Newton's legal material, with the highest average posttest score (90.45) compared to the pure PBL (81.36) and conventional (75.91) models. The use of technology such as PhET simulations and google sites is the main key in helping visualize abstract concepts and optimize the ability to evaluate and create. The results of the study confirm that the synergy between problem-based pedagogy and teachers' technological proficiency is very effective in transforming memorization learning patterns into a critical and creative process of self-discovery in the digital era. Therefore, educators are encouraged to integrate interactive technology into the PBL syntax, supported by the provision of facilities and continuous TPACK training by schools. Future researchers are also suggested to employ a qualitative approach to further explore the learning process, implementation constraints, and students' perceptions of TPACK integrated PBL</w:t>
      </w:r>
      <w:r w:rsidR="0077397C">
        <w:rPr>
          <w:rFonts w:ascii="Times New Roman" w:eastAsia="Times New Roman" w:hAnsi="Times New Roman" w:cs="Times New Roman"/>
          <w:bCs/>
          <w:sz w:val="24"/>
          <w:szCs w:val="24"/>
        </w:rPr>
        <w:t>.</w:t>
      </w:r>
    </w:p>
    <w:p w14:paraId="5BE23701" w14:textId="43AA641F" w:rsidR="0006115B" w:rsidRPr="0006115B" w:rsidRDefault="002541EC" w:rsidP="0006115B">
      <w:pPr>
        <w:spacing w:before="120" w:after="120" w:line="240" w:lineRule="auto"/>
        <w:jc w:val="both"/>
        <w:rPr>
          <w:rFonts w:ascii="Times New Roman" w:eastAsia="Times New Roman" w:hAnsi="Times New Roman" w:cs="Times New Roman"/>
          <w:b/>
          <w:color w:val="0070C0"/>
          <w:sz w:val="24"/>
          <w:szCs w:val="24"/>
        </w:rPr>
      </w:pPr>
      <w:r w:rsidRPr="00B74622">
        <w:rPr>
          <w:rFonts w:ascii="Times New Roman" w:eastAsia="Times New Roman" w:hAnsi="Times New Roman" w:cs="Times New Roman"/>
          <w:b/>
          <w:color w:val="0070C0"/>
          <w:sz w:val="24"/>
          <w:szCs w:val="24"/>
        </w:rPr>
        <w:t>References</w:t>
      </w:r>
    </w:p>
    <w:p w14:paraId="67FA7905" w14:textId="77777777" w:rsidR="004038CB" w:rsidRDefault="004038CB" w:rsidP="00B8249E">
      <w:pPr>
        <w:spacing w:before="120" w:after="120" w:line="240" w:lineRule="auto"/>
        <w:ind w:left="851" w:hanging="851"/>
        <w:jc w:val="both"/>
        <w:rPr>
          <w:rFonts w:ascii="Times New Roman" w:hAnsi="Times New Roman" w:cs="Times New Roman"/>
          <w:sz w:val="24"/>
          <w:szCs w:val="24"/>
        </w:rPr>
      </w:pPr>
      <w:r w:rsidRPr="00B8249E">
        <w:rPr>
          <w:rFonts w:ascii="Times New Roman" w:hAnsi="Times New Roman" w:cs="Times New Roman"/>
          <w:sz w:val="24"/>
          <w:szCs w:val="24"/>
        </w:rPr>
        <w:t>Ahmad, A., Ruslan, R., &amp; Nasaruddin, N. (2025). Building critical and moral generation: The implementation of HOTS approach in Islamic religious education. </w:t>
      </w:r>
      <w:r w:rsidRPr="00B8249E">
        <w:rPr>
          <w:rFonts w:ascii="Times New Roman" w:hAnsi="Times New Roman" w:cs="Times New Roman"/>
          <w:i/>
          <w:iCs/>
          <w:sz w:val="24"/>
          <w:szCs w:val="24"/>
        </w:rPr>
        <w:t>Journal of English Language and Education</w:t>
      </w:r>
      <w:r w:rsidRPr="00B8249E">
        <w:rPr>
          <w:rFonts w:ascii="Times New Roman" w:hAnsi="Times New Roman" w:cs="Times New Roman"/>
          <w:sz w:val="24"/>
          <w:szCs w:val="24"/>
        </w:rPr>
        <w:t>, </w:t>
      </w:r>
      <w:r w:rsidRPr="00B8249E">
        <w:rPr>
          <w:rFonts w:ascii="Times New Roman" w:hAnsi="Times New Roman" w:cs="Times New Roman"/>
          <w:i/>
          <w:iCs/>
          <w:sz w:val="24"/>
          <w:szCs w:val="24"/>
        </w:rPr>
        <w:t>10</w:t>
      </w:r>
      <w:r w:rsidRPr="00B8249E">
        <w:rPr>
          <w:rFonts w:ascii="Times New Roman" w:hAnsi="Times New Roman" w:cs="Times New Roman"/>
          <w:sz w:val="24"/>
          <w:szCs w:val="24"/>
        </w:rPr>
        <w:t>(1), 476-490.</w:t>
      </w:r>
      <w:r>
        <w:rPr>
          <w:rFonts w:ascii="Times New Roman" w:hAnsi="Times New Roman" w:cs="Times New Roman"/>
          <w:sz w:val="24"/>
          <w:szCs w:val="24"/>
        </w:rPr>
        <w:t xml:space="preserve"> </w:t>
      </w:r>
      <w:hyperlink r:id="rId15" w:history="1">
        <w:r w:rsidRPr="00BF2A71">
          <w:rPr>
            <w:rStyle w:val="Hyperlink"/>
            <w:rFonts w:ascii="Times New Roman" w:hAnsi="Times New Roman" w:cs="Times New Roman"/>
            <w:sz w:val="24"/>
            <w:szCs w:val="24"/>
          </w:rPr>
          <w:t>https://doi.org/10.31004/jele.v10i1.656</w:t>
        </w:r>
      </w:hyperlink>
    </w:p>
    <w:p w14:paraId="0F01B1F3" w14:textId="77777777" w:rsidR="004038CB" w:rsidRDefault="004038CB" w:rsidP="007546C9">
      <w:pPr>
        <w:spacing w:before="120" w:after="120" w:line="240" w:lineRule="auto"/>
        <w:ind w:left="851" w:hanging="851"/>
        <w:jc w:val="both"/>
        <w:rPr>
          <w:rFonts w:ascii="Times New Roman" w:hAnsi="Times New Roman" w:cs="Times New Roman"/>
          <w:sz w:val="24"/>
          <w:szCs w:val="24"/>
        </w:rPr>
      </w:pPr>
      <w:r w:rsidRPr="00B8249E">
        <w:rPr>
          <w:rFonts w:ascii="Times New Roman" w:hAnsi="Times New Roman" w:cs="Times New Roman"/>
          <w:sz w:val="24"/>
          <w:szCs w:val="24"/>
        </w:rPr>
        <w:lastRenderedPageBreak/>
        <w:t>Astalini, A., Darmaji, D., Kurniawan, D. A., &amp; Minarsih, M. (2022). Identification of HOTS creative thinking, science process skills and digital literacy in physics subject. </w:t>
      </w:r>
      <w:r w:rsidRPr="00B8249E">
        <w:rPr>
          <w:rFonts w:ascii="Times New Roman" w:hAnsi="Times New Roman" w:cs="Times New Roman"/>
          <w:i/>
          <w:iCs/>
          <w:sz w:val="24"/>
          <w:szCs w:val="24"/>
        </w:rPr>
        <w:t>Jurnal Penelitian Fisika Dan Aplikasinya (JPFA)</w:t>
      </w:r>
      <w:r w:rsidRPr="00B8249E">
        <w:rPr>
          <w:rFonts w:ascii="Times New Roman" w:hAnsi="Times New Roman" w:cs="Times New Roman"/>
          <w:sz w:val="24"/>
          <w:szCs w:val="24"/>
        </w:rPr>
        <w:t>, </w:t>
      </w:r>
      <w:r w:rsidRPr="00B8249E">
        <w:rPr>
          <w:rFonts w:ascii="Times New Roman" w:hAnsi="Times New Roman" w:cs="Times New Roman"/>
          <w:i/>
          <w:iCs/>
          <w:sz w:val="24"/>
          <w:szCs w:val="24"/>
        </w:rPr>
        <w:t>12</w:t>
      </w:r>
      <w:r w:rsidRPr="00B8249E">
        <w:rPr>
          <w:rFonts w:ascii="Times New Roman" w:hAnsi="Times New Roman" w:cs="Times New Roman"/>
          <w:sz w:val="24"/>
          <w:szCs w:val="24"/>
        </w:rPr>
        <w:t>(1), 47-61.</w:t>
      </w:r>
      <w:r>
        <w:rPr>
          <w:rFonts w:ascii="Times New Roman" w:hAnsi="Times New Roman" w:cs="Times New Roman"/>
          <w:sz w:val="24"/>
          <w:szCs w:val="24"/>
        </w:rPr>
        <w:t xml:space="preserve"> </w:t>
      </w:r>
      <w:hyperlink r:id="rId16" w:history="1">
        <w:r w:rsidRPr="00BF2A71">
          <w:rPr>
            <w:rStyle w:val="Hyperlink"/>
            <w:rFonts w:ascii="Times New Roman" w:hAnsi="Times New Roman" w:cs="Times New Roman"/>
            <w:sz w:val="24"/>
            <w:szCs w:val="24"/>
          </w:rPr>
          <w:t>https://doi.org/10.26740/jpfa.v12n1.p47-61</w:t>
        </w:r>
      </w:hyperlink>
    </w:p>
    <w:p w14:paraId="4F1477CA" w14:textId="77777777" w:rsidR="004038CB" w:rsidRPr="00A37A64" w:rsidRDefault="004038CB" w:rsidP="00A37A64">
      <w:pPr>
        <w:spacing w:before="120" w:after="120" w:line="240" w:lineRule="auto"/>
        <w:ind w:left="851" w:hanging="851"/>
        <w:jc w:val="both"/>
        <w:rPr>
          <w:rFonts w:ascii="Times New Roman" w:hAnsi="Times New Roman" w:cs="Times New Roman"/>
          <w:sz w:val="24"/>
          <w:szCs w:val="24"/>
          <w:lang w:val="en-US"/>
        </w:rPr>
      </w:pPr>
      <w:r w:rsidRPr="00A37A64">
        <w:rPr>
          <w:rFonts w:ascii="Times New Roman" w:hAnsi="Times New Roman" w:cs="Times New Roman"/>
          <w:sz w:val="24"/>
          <w:szCs w:val="24"/>
          <w:lang w:val="en-US"/>
        </w:rPr>
        <w:t xml:space="preserve">Banda, H. J., &amp; Nzabahimana, J. (2023). The impact of Physics Education Technology (PhET) interactive simulation-based learning on motivation and academic achievement among Malawian physics students. </w:t>
      </w:r>
      <w:r w:rsidRPr="00A37A64">
        <w:rPr>
          <w:rFonts w:ascii="Times New Roman" w:hAnsi="Times New Roman" w:cs="Times New Roman"/>
          <w:i/>
          <w:iCs/>
          <w:sz w:val="24"/>
          <w:szCs w:val="24"/>
          <w:lang w:val="en-US"/>
        </w:rPr>
        <w:t>Journal of Science Education and Technology, 32</w:t>
      </w:r>
      <w:r w:rsidRPr="00A37A64">
        <w:rPr>
          <w:rFonts w:ascii="Times New Roman" w:hAnsi="Times New Roman" w:cs="Times New Roman"/>
          <w:sz w:val="24"/>
          <w:szCs w:val="24"/>
          <w:lang w:val="en-US"/>
        </w:rPr>
        <w:t xml:space="preserve">(1), 127–141. </w:t>
      </w:r>
      <w:hyperlink r:id="rId17" w:tgtFrame="_new" w:history="1">
        <w:r w:rsidRPr="00A37A64">
          <w:rPr>
            <w:rStyle w:val="Hyperlink"/>
            <w:rFonts w:ascii="Times New Roman" w:hAnsi="Times New Roman" w:cs="Times New Roman"/>
            <w:sz w:val="24"/>
            <w:szCs w:val="24"/>
            <w:lang w:val="en-US"/>
          </w:rPr>
          <w:t>https://doi.org/10.1007/s10956-022-10010-3</w:t>
        </w:r>
      </w:hyperlink>
    </w:p>
    <w:p w14:paraId="5F446948" w14:textId="77777777" w:rsidR="004038CB" w:rsidRDefault="004038CB" w:rsidP="007546C9">
      <w:pPr>
        <w:spacing w:before="120" w:after="120" w:line="240" w:lineRule="auto"/>
        <w:ind w:left="851" w:hanging="851"/>
        <w:jc w:val="both"/>
        <w:rPr>
          <w:rFonts w:ascii="Times New Roman" w:hAnsi="Times New Roman" w:cs="Times New Roman"/>
          <w:sz w:val="24"/>
          <w:szCs w:val="24"/>
        </w:rPr>
      </w:pPr>
      <w:r w:rsidRPr="00353DE1">
        <w:rPr>
          <w:rFonts w:ascii="Times New Roman" w:hAnsi="Times New Roman" w:cs="Times New Roman"/>
          <w:sz w:val="24"/>
          <w:szCs w:val="24"/>
        </w:rPr>
        <w:t>Baum, C. M., Christiansen, C. H., &amp; Bass, J. D. (2024). The person-environment-occupation-performance (PEOP) model. In </w:t>
      </w:r>
      <w:r w:rsidRPr="00353DE1">
        <w:rPr>
          <w:rFonts w:ascii="Times New Roman" w:hAnsi="Times New Roman" w:cs="Times New Roman"/>
          <w:i/>
          <w:iCs/>
          <w:sz w:val="24"/>
          <w:szCs w:val="24"/>
        </w:rPr>
        <w:t>Occupational therapy</w:t>
      </w:r>
      <w:r w:rsidRPr="00353DE1">
        <w:rPr>
          <w:rFonts w:ascii="Times New Roman" w:hAnsi="Times New Roman" w:cs="Times New Roman"/>
          <w:sz w:val="24"/>
          <w:szCs w:val="24"/>
        </w:rPr>
        <w:t> (pp. 47-55). Routledge.</w:t>
      </w:r>
    </w:p>
    <w:p w14:paraId="5E87D462" w14:textId="77777777" w:rsidR="004038CB" w:rsidRPr="00A37A64" w:rsidRDefault="004038CB" w:rsidP="00A37A64">
      <w:pPr>
        <w:spacing w:before="120" w:after="120" w:line="240" w:lineRule="auto"/>
        <w:ind w:left="851" w:hanging="851"/>
        <w:jc w:val="both"/>
        <w:rPr>
          <w:rFonts w:ascii="Times New Roman" w:hAnsi="Times New Roman" w:cs="Times New Roman"/>
          <w:sz w:val="24"/>
          <w:szCs w:val="24"/>
          <w:lang w:val="en-US"/>
        </w:rPr>
      </w:pPr>
      <w:r w:rsidRPr="00A37A64">
        <w:rPr>
          <w:rFonts w:ascii="Times New Roman" w:hAnsi="Times New Roman" w:cs="Times New Roman"/>
          <w:sz w:val="24"/>
          <w:szCs w:val="24"/>
          <w:lang w:val="en-US"/>
        </w:rPr>
        <w:t xml:space="preserve">Baziukė, D., Rupšienė, I., Kesylė, K., &amp; Norvilienė, A. (2025). How e-learning platforms are addressing project-based learning: An assessment of digital learning tools in primary education. </w:t>
      </w:r>
      <w:r w:rsidRPr="00A37A64">
        <w:rPr>
          <w:rFonts w:ascii="Times New Roman" w:hAnsi="Times New Roman" w:cs="Times New Roman"/>
          <w:i/>
          <w:iCs/>
          <w:sz w:val="24"/>
          <w:szCs w:val="24"/>
          <w:lang w:val="en-US"/>
        </w:rPr>
        <w:t>Applied Sciences, 15</w:t>
      </w:r>
      <w:r w:rsidRPr="00A37A64">
        <w:rPr>
          <w:rFonts w:ascii="Times New Roman" w:hAnsi="Times New Roman" w:cs="Times New Roman"/>
          <w:sz w:val="24"/>
          <w:szCs w:val="24"/>
          <w:lang w:val="en-US"/>
        </w:rPr>
        <w:t xml:space="preserve">(23). </w:t>
      </w:r>
      <w:hyperlink r:id="rId18" w:tgtFrame="_new" w:history="1">
        <w:r w:rsidRPr="00A37A64">
          <w:rPr>
            <w:rStyle w:val="Hyperlink"/>
            <w:rFonts w:ascii="Times New Roman" w:hAnsi="Times New Roman" w:cs="Times New Roman"/>
            <w:sz w:val="24"/>
            <w:szCs w:val="24"/>
            <w:lang w:val="en-US"/>
          </w:rPr>
          <w:t>https://doi.org/10.3390/app152312422</w:t>
        </w:r>
      </w:hyperlink>
    </w:p>
    <w:p w14:paraId="1BEB9CA7" w14:textId="77777777" w:rsidR="004038CB" w:rsidRDefault="004038CB" w:rsidP="00B8249E">
      <w:pPr>
        <w:spacing w:before="120" w:after="120" w:line="240" w:lineRule="auto"/>
        <w:ind w:left="851" w:hanging="851"/>
        <w:jc w:val="both"/>
        <w:rPr>
          <w:rFonts w:ascii="Times New Roman" w:hAnsi="Times New Roman" w:cs="Times New Roman"/>
          <w:sz w:val="24"/>
          <w:szCs w:val="24"/>
        </w:rPr>
      </w:pPr>
      <w:r w:rsidRPr="00B8249E">
        <w:rPr>
          <w:rFonts w:ascii="Times New Roman" w:hAnsi="Times New Roman" w:cs="Times New Roman"/>
          <w:sz w:val="24"/>
          <w:szCs w:val="24"/>
        </w:rPr>
        <w:t>Danis, A., Julia, N. T., Maulida, Z., &amp; Nabila, N. (2025). IMPROVING STUDENTS'LITERACY SKILLS THROUGH THE DEVELOPMENT OF A PROBLEM-BASED LEARNING MODEL BASED ON HOTS. </w:t>
      </w:r>
      <w:r w:rsidRPr="00B8249E">
        <w:rPr>
          <w:rFonts w:ascii="Times New Roman" w:hAnsi="Times New Roman" w:cs="Times New Roman"/>
          <w:i/>
          <w:iCs/>
          <w:sz w:val="24"/>
          <w:szCs w:val="24"/>
        </w:rPr>
        <w:t>Jurnal Buah Hati</w:t>
      </w:r>
      <w:r w:rsidRPr="00B8249E">
        <w:rPr>
          <w:rFonts w:ascii="Times New Roman" w:hAnsi="Times New Roman" w:cs="Times New Roman"/>
          <w:sz w:val="24"/>
          <w:szCs w:val="24"/>
        </w:rPr>
        <w:t>, </w:t>
      </w:r>
      <w:r w:rsidRPr="00B8249E">
        <w:rPr>
          <w:rFonts w:ascii="Times New Roman" w:hAnsi="Times New Roman" w:cs="Times New Roman"/>
          <w:i/>
          <w:iCs/>
          <w:sz w:val="24"/>
          <w:szCs w:val="24"/>
        </w:rPr>
        <w:t>12</w:t>
      </w:r>
      <w:r w:rsidRPr="00B8249E">
        <w:rPr>
          <w:rFonts w:ascii="Times New Roman" w:hAnsi="Times New Roman" w:cs="Times New Roman"/>
          <w:sz w:val="24"/>
          <w:szCs w:val="24"/>
        </w:rPr>
        <w:t>(2), 136-149.</w:t>
      </w:r>
      <w:r>
        <w:rPr>
          <w:rFonts w:ascii="Times New Roman" w:hAnsi="Times New Roman" w:cs="Times New Roman"/>
          <w:sz w:val="24"/>
          <w:szCs w:val="24"/>
        </w:rPr>
        <w:t xml:space="preserve"> </w:t>
      </w:r>
      <w:hyperlink r:id="rId19" w:history="1">
        <w:r w:rsidRPr="00BF2A71">
          <w:rPr>
            <w:rStyle w:val="Hyperlink"/>
            <w:rFonts w:ascii="Times New Roman" w:hAnsi="Times New Roman" w:cs="Times New Roman"/>
            <w:sz w:val="24"/>
            <w:szCs w:val="24"/>
          </w:rPr>
          <w:t>https://doi.org/10.46244/buahhati.v12i2.3452</w:t>
        </w:r>
      </w:hyperlink>
    </w:p>
    <w:p w14:paraId="38E57F78" w14:textId="77777777" w:rsidR="004038CB" w:rsidRDefault="004038CB" w:rsidP="007546C9">
      <w:pPr>
        <w:spacing w:before="120" w:after="120" w:line="240" w:lineRule="auto"/>
        <w:ind w:left="851" w:hanging="851"/>
        <w:jc w:val="both"/>
        <w:rPr>
          <w:rFonts w:ascii="Times New Roman" w:hAnsi="Times New Roman" w:cs="Times New Roman"/>
          <w:sz w:val="24"/>
          <w:szCs w:val="24"/>
        </w:rPr>
      </w:pPr>
      <w:r w:rsidRPr="00353DE1">
        <w:rPr>
          <w:rFonts w:ascii="Times New Roman" w:hAnsi="Times New Roman" w:cs="Times New Roman"/>
          <w:sz w:val="24"/>
          <w:szCs w:val="24"/>
        </w:rPr>
        <w:t>Danis, A., Julia, N. T., Maulida, Z., &amp; Nabila, N. (2025). IMPROVING STUDENTS'LITERACY SKILLS THROUGH THE DEVELOPMENT OF A PROBLEM-BASED LEARNING MODEL BASED ON HOTS. </w:t>
      </w:r>
      <w:r w:rsidRPr="00353DE1">
        <w:rPr>
          <w:rFonts w:ascii="Times New Roman" w:hAnsi="Times New Roman" w:cs="Times New Roman"/>
          <w:i/>
          <w:iCs/>
          <w:sz w:val="24"/>
          <w:szCs w:val="24"/>
        </w:rPr>
        <w:t>Jurnal Buah Hati</w:t>
      </w:r>
      <w:r w:rsidRPr="00353DE1">
        <w:rPr>
          <w:rFonts w:ascii="Times New Roman" w:hAnsi="Times New Roman" w:cs="Times New Roman"/>
          <w:sz w:val="24"/>
          <w:szCs w:val="24"/>
        </w:rPr>
        <w:t>, </w:t>
      </w:r>
      <w:r w:rsidRPr="00353DE1">
        <w:rPr>
          <w:rFonts w:ascii="Times New Roman" w:hAnsi="Times New Roman" w:cs="Times New Roman"/>
          <w:i/>
          <w:iCs/>
          <w:sz w:val="24"/>
          <w:szCs w:val="24"/>
        </w:rPr>
        <w:t>12</w:t>
      </w:r>
      <w:r w:rsidRPr="00353DE1">
        <w:rPr>
          <w:rFonts w:ascii="Times New Roman" w:hAnsi="Times New Roman" w:cs="Times New Roman"/>
          <w:sz w:val="24"/>
          <w:szCs w:val="24"/>
        </w:rPr>
        <w:t>(2), 136-149.</w:t>
      </w:r>
      <w:r>
        <w:rPr>
          <w:rFonts w:ascii="Times New Roman" w:hAnsi="Times New Roman" w:cs="Times New Roman"/>
          <w:sz w:val="24"/>
          <w:szCs w:val="24"/>
        </w:rPr>
        <w:t xml:space="preserve"> </w:t>
      </w:r>
      <w:hyperlink r:id="rId20" w:history="1">
        <w:r w:rsidRPr="00BF2A71">
          <w:rPr>
            <w:rStyle w:val="Hyperlink"/>
            <w:rFonts w:ascii="Times New Roman" w:hAnsi="Times New Roman" w:cs="Times New Roman"/>
            <w:sz w:val="24"/>
            <w:szCs w:val="24"/>
          </w:rPr>
          <w:t>https://doi.org/10.46244/buahhati.v12i2.3452</w:t>
        </w:r>
      </w:hyperlink>
    </w:p>
    <w:p w14:paraId="5757FF66" w14:textId="77777777" w:rsidR="004038CB" w:rsidRDefault="004038CB" w:rsidP="00B8249E">
      <w:pPr>
        <w:spacing w:before="120" w:after="120" w:line="240" w:lineRule="auto"/>
        <w:ind w:left="851" w:hanging="851"/>
        <w:jc w:val="both"/>
        <w:rPr>
          <w:rFonts w:ascii="Times New Roman" w:hAnsi="Times New Roman" w:cs="Times New Roman"/>
          <w:sz w:val="24"/>
          <w:szCs w:val="24"/>
        </w:rPr>
      </w:pPr>
      <w:r w:rsidRPr="00B8249E">
        <w:rPr>
          <w:rFonts w:ascii="Times New Roman" w:hAnsi="Times New Roman" w:cs="Times New Roman"/>
          <w:sz w:val="24"/>
          <w:szCs w:val="24"/>
        </w:rPr>
        <w:t>Derakhshan, A., &amp; Taghizadeh, M. S. (2025). Does Artificial Intelligence (AI) Nurture or Hinder Language Learners' Higher‐Order Thinking Skills (HOTS)? A Phenomenological Study on L2 Learners' Perspectives and Lived Experiences. </w:t>
      </w:r>
      <w:r w:rsidRPr="00B8249E">
        <w:rPr>
          <w:rFonts w:ascii="Times New Roman" w:hAnsi="Times New Roman" w:cs="Times New Roman"/>
          <w:i/>
          <w:iCs/>
          <w:sz w:val="24"/>
          <w:szCs w:val="24"/>
        </w:rPr>
        <w:t>International Journal of Applied Linguistics</w:t>
      </w:r>
      <w:r w:rsidRPr="00B8249E">
        <w:rPr>
          <w:rFonts w:ascii="Times New Roman" w:hAnsi="Times New Roman" w:cs="Times New Roman"/>
          <w:sz w:val="24"/>
          <w:szCs w:val="24"/>
        </w:rPr>
        <w:t>.</w:t>
      </w:r>
      <w:r>
        <w:rPr>
          <w:rFonts w:ascii="Times New Roman" w:hAnsi="Times New Roman" w:cs="Times New Roman"/>
          <w:sz w:val="24"/>
          <w:szCs w:val="24"/>
        </w:rPr>
        <w:t xml:space="preserve"> </w:t>
      </w:r>
      <w:hyperlink r:id="rId21" w:history="1">
        <w:r w:rsidRPr="00BF2A71">
          <w:rPr>
            <w:rStyle w:val="Hyperlink"/>
            <w:rFonts w:ascii="Times New Roman" w:hAnsi="Times New Roman" w:cs="Times New Roman"/>
            <w:sz w:val="24"/>
            <w:szCs w:val="24"/>
          </w:rPr>
          <w:t>https://doi.org/10.1111/ijal.12824</w:t>
        </w:r>
      </w:hyperlink>
    </w:p>
    <w:p w14:paraId="65EDDFF7" w14:textId="77777777" w:rsidR="004038CB" w:rsidRDefault="004038CB" w:rsidP="007546C9">
      <w:pPr>
        <w:spacing w:before="120" w:after="120" w:line="240" w:lineRule="auto"/>
        <w:ind w:left="851" w:hanging="851"/>
        <w:jc w:val="both"/>
        <w:rPr>
          <w:rFonts w:ascii="Times New Roman" w:hAnsi="Times New Roman" w:cs="Times New Roman"/>
          <w:sz w:val="24"/>
          <w:szCs w:val="24"/>
        </w:rPr>
      </w:pPr>
      <w:r w:rsidRPr="00353DE1">
        <w:rPr>
          <w:rFonts w:ascii="Times New Roman" w:hAnsi="Times New Roman" w:cs="Times New Roman"/>
          <w:sz w:val="24"/>
          <w:szCs w:val="24"/>
        </w:rPr>
        <w:t>Firmansyah, F. (2025). The Purpose of Education from the Perspective of Hadith in Instilling Islamic Values Dynamically in Daily Life. </w:t>
      </w:r>
      <w:r w:rsidRPr="00353DE1">
        <w:rPr>
          <w:rFonts w:ascii="Times New Roman" w:hAnsi="Times New Roman" w:cs="Times New Roman"/>
          <w:i/>
          <w:iCs/>
          <w:sz w:val="24"/>
          <w:szCs w:val="24"/>
        </w:rPr>
        <w:t>AL GHAZALI: Jurnal Pendidikan Dan Pemikiran Islam</w:t>
      </w:r>
      <w:r w:rsidRPr="00353DE1">
        <w:rPr>
          <w:rFonts w:ascii="Times New Roman" w:hAnsi="Times New Roman" w:cs="Times New Roman"/>
          <w:sz w:val="24"/>
          <w:szCs w:val="24"/>
        </w:rPr>
        <w:t>, </w:t>
      </w:r>
      <w:r w:rsidRPr="00353DE1">
        <w:rPr>
          <w:rFonts w:ascii="Times New Roman" w:hAnsi="Times New Roman" w:cs="Times New Roman"/>
          <w:i/>
          <w:iCs/>
          <w:sz w:val="24"/>
          <w:szCs w:val="24"/>
        </w:rPr>
        <w:t>5</w:t>
      </w:r>
      <w:r w:rsidRPr="00353DE1">
        <w:rPr>
          <w:rFonts w:ascii="Times New Roman" w:hAnsi="Times New Roman" w:cs="Times New Roman"/>
          <w:sz w:val="24"/>
          <w:szCs w:val="24"/>
        </w:rPr>
        <w:t>(2), 340-358.</w:t>
      </w:r>
    </w:p>
    <w:p w14:paraId="71B606DB" w14:textId="77777777" w:rsidR="004038CB" w:rsidRDefault="004038CB" w:rsidP="007546C9">
      <w:pPr>
        <w:spacing w:before="120" w:after="120" w:line="240" w:lineRule="auto"/>
        <w:ind w:left="851" w:hanging="851"/>
        <w:jc w:val="both"/>
        <w:rPr>
          <w:rFonts w:ascii="Times New Roman" w:hAnsi="Times New Roman" w:cs="Times New Roman"/>
          <w:sz w:val="24"/>
          <w:szCs w:val="24"/>
        </w:rPr>
      </w:pPr>
      <w:r w:rsidRPr="00353DE1">
        <w:rPr>
          <w:rFonts w:ascii="Times New Roman" w:hAnsi="Times New Roman" w:cs="Times New Roman"/>
          <w:sz w:val="24"/>
          <w:szCs w:val="24"/>
        </w:rPr>
        <w:t>Gusmiyati, T. F. (2026). IMPROVING LEARNING OUTCOMES ON PLANE AREA THROUGH HOTS-ORIENTED PROBLEM BASED LEARNING (PBL). </w:t>
      </w:r>
      <w:r w:rsidRPr="00353DE1">
        <w:rPr>
          <w:rFonts w:ascii="Times New Roman" w:hAnsi="Times New Roman" w:cs="Times New Roman"/>
          <w:i/>
          <w:iCs/>
          <w:sz w:val="24"/>
          <w:szCs w:val="24"/>
        </w:rPr>
        <w:t>Teaching and General Education Studies</w:t>
      </w:r>
      <w:r w:rsidRPr="00353DE1">
        <w:rPr>
          <w:rFonts w:ascii="Times New Roman" w:hAnsi="Times New Roman" w:cs="Times New Roman"/>
          <w:sz w:val="24"/>
          <w:szCs w:val="24"/>
        </w:rPr>
        <w:t>, </w:t>
      </w:r>
      <w:r w:rsidRPr="00353DE1">
        <w:rPr>
          <w:rFonts w:ascii="Times New Roman" w:hAnsi="Times New Roman" w:cs="Times New Roman"/>
          <w:i/>
          <w:iCs/>
          <w:sz w:val="24"/>
          <w:szCs w:val="24"/>
        </w:rPr>
        <w:t>2</w:t>
      </w:r>
      <w:r w:rsidRPr="00353DE1">
        <w:rPr>
          <w:rFonts w:ascii="Times New Roman" w:hAnsi="Times New Roman" w:cs="Times New Roman"/>
          <w:sz w:val="24"/>
          <w:szCs w:val="24"/>
        </w:rPr>
        <w:t>(1), 112-122.</w:t>
      </w:r>
    </w:p>
    <w:p w14:paraId="6F31F09F" w14:textId="77777777" w:rsidR="004038CB" w:rsidRDefault="004038CB" w:rsidP="00B8249E">
      <w:pPr>
        <w:spacing w:before="120" w:after="120" w:line="240" w:lineRule="auto"/>
        <w:ind w:left="851" w:hanging="851"/>
        <w:jc w:val="both"/>
        <w:rPr>
          <w:rFonts w:ascii="Times New Roman" w:hAnsi="Times New Roman" w:cs="Times New Roman"/>
          <w:sz w:val="24"/>
          <w:szCs w:val="24"/>
        </w:rPr>
      </w:pPr>
      <w:r w:rsidRPr="00B8249E">
        <w:rPr>
          <w:rFonts w:ascii="Times New Roman" w:hAnsi="Times New Roman" w:cs="Times New Roman"/>
          <w:sz w:val="24"/>
          <w:szCs w:val="24"/>
        </w:rPr>
        <w:t>Ismeirita, I., Ahman, E., Dahlan, D., &amp; Supendra, D. (2025). Identifying Key Factors Influencing the Development of Higher Order Thinking Skills (HOTS) in Students: A Systematic Literature Review. </w:t>
      </w:r>
      <w:r w:rsidRPr="00B8249E">
        <w:rPr>
          <w:rFonts w:ascii="Times New Roman" w:hAnsi="Times New Roman" w:cs="Times New Roman"/>
          <w:i/>
          <w:iCs/>
          <w:sz w:val="24"/>
          <w:szCs w:val="24"/>
        </w:rPr>
        <w:t>AL-ISHLAH: Jurnal Pendidikan</w:t>
      </w:r>
      <w:r w:rsidRPr="00B8249E">
        <w:rPr>
          <w:rFonts w:ascii="Times New Roman" w:hAnsi="Times New Roman" w:cs="Times New Roman"/>
          <w:sz w:val="24"/>
          <w:szCs w:val="24"/>
        </w:rPr>
        <w:t>, </w:t>
      </w:r>
      <w:r w:rsidRPr="00B8249E">
        <w:rPr>
          <w:rFonts w:ascii="Times New Roman" w:hAnsi="Times New Roman" w:cs="Times New Roman"/>
          <w:i/>
          <w:iCs/>
          <w:sz w:val="24"/>
          <w:szCs w:val="24"/>
        </w:rPr>
        <w:t>17</w:t>
      </w:r>
      <w:r w:rsidRPr="00B8249E">
        <w:rPr>
          <w:rFonts w:ascii="Times New Roman" w:hAnsi="Times New Roman" w:cs="Times New Roman"/>
          <w:sz w:val="24"/>
          <w:szCs w:val="24"/>
        </w:rPr>
        <w:t>(3), 5242-5257.</w:t>
      </w:r>
      <w:r>
        <w:rPr>
          <w:rFonts w:ascii="Times New Roman" w:hAnsi="Times New Roman" w:cs="Times New Roman"/>
          <w:sz w:val="24"/>
          <w:szCs w:val="24"/>
        </w:rPr>
        <w:t xml:space="preserve"> </w:t>
      </w:r>
      <w:hyperlink r:id="rId22" w:history="1">
        <w:r w:rsidRPr="00BF2A71">
          <w:rPr>
            <w:rStyle w:val="Hyperlink"/>
            <w:rFonts w:ascii="Times New Roman" w:hAnsi="Times New Roman" w:cs="Times New Roman"/>
            <w:sz w:val="24"/>
            <w:szCs w:val="24"/>
          </w:rPr>
          <w:t>https://doi.org/10.35445/alishlah.v17i3.6627</w:t>
        </w:r>
      </w:hyperlink>
    </w:p>
    <w:p w14:paraId="69E907B5" w14:textId="77777777" w:rsidR="004038CB" w:rsidRDefault="004038CB" w:rsidP="007546C9">
      <w:pPr>
        <w:spacing w:before="120" w:after="120" w:line="240" w:lineRule="auto"/>
        <w:ind w:left="851" w:hanging="851"/>
        <w:jc w:val="both"/>
        <w:rPr>
          <w:rFonts w:ascii="Times New Roman" w:hAnsi="Times New Roman" w:cs="Times New Roman"/>
          <w:sz w:val="24"/>
          <w:szCs w:val="24"/>
        </w:rPr>
      </w:pPr>
      <w:r>
        <w:rPr>
          <w:rFonts w:ascii="Times New Roman" w:hAnsi="Times New Roman" w:cs="Times New Roman"/>
          <w:sz w:val="24"/>
          <w:szCs w:val="24"/>
        </w:rPr>
        <w:t>Jibril</w:t>
      </w:r>
      <w:r w:rsidRPr="00353DE1">
        <w:rPr>
          <w:rFonts w:ascii="Times New Roman" w:hAnsi="Times New Roman" w:cs="Times New Roman"/>
          <w:sz w:val="24"/>
          <w:szCs w:val="24"/>
        </w:rPr>
        <w:t>, M., &amp; Adedokun-Shittu, N. A. (2024). Enhancing education: A comprehensive framework for integrating technological pedagogical content knowledge (TPACK) into teaching and learning. </w:t>
      </w:r>
      <w:r w:rsidRPr="00353DE1">
        <w:rPr>
          <w:rFonts w:ascii="Times New Roman" w:hAnsi="Times New Roman" w:cs="Times New Roman"/>
          <w:i/>
          <w:iCs/>
          <w:sz w:val="24"/>
          <w:szCs w:val="24"/>
        </w:rPr>
        <w:t>Indonesian Journal of Multidiciplinary Research</w:t>
      </w:r>
      <w:r w:rsidRPr="00353DE1">
        <w:rPr>
          <w:rFonts w:ascii="Times New Roman" w:hAnsi="Times New Roman" w:cs="Times New Roman"/>
          <w:sz w:val="24"/>
          <w:szCs w:val="24"/>
        </w:rPr>
        <w:t>, </w:t>
      </w:r>
      <w:r w:rsidRPr="00353DE1">
        <w:rPr>
          <w:rFonts w:ascii="Times New Roman" w:hAnsi="Times New Roman" w:cs="Times New Roman"/>
          <w:i/>
          <w:iCs/>
          <w:sz w:val="24"/>
          <w:szCs w:val="24"/>
        </w:rPr>
        <w:t>4</w:t>
      </w:r>
      <w:r w:rsidRPr="00353DE1">
        <w:rPr>
          <w:rFonts w:ascii="Times New Roman" w:hAnsi="Times New Roman" w:cs="Times New Roman"/>
          <w:sz w:val="24"/>
          <w:szCs w:val="24"/>
        </w:rPr>
        <w:t>(1), 181-188.</w:t>
      </w:r>
    </w:p>
    <w:p w14:paraId="2BD9A603" w14:textId="77777777" w:rsidR="004038CB" w:rsidRPr="00A37A64" w:rsidRDefault="004038CB" w:rsidP="00A37A64">
      <w:pPr>
        <w:spacing w:before="120" w:after="120" w:line="240" w:lineRule="auto"/>
        <w:ind w:left="851" w:hanging="851"/>
        <w:jc w:val="both"/>
        <w:rPr>
          <w:rFonts w:ascii="Times New Roman" w:hAnsi="Times New Roman" w:cs="Times New Roman"/>
          <w:sz w:val="24"/>
          <w:szCs w:val="24"/>
          <w:lang w:val="en-US"/>
        </w:rPr>
      </w:pPr>
      <w:r w:rsidRPr="00A37A64">
        <w:rPr>
          <w:rFonts w:ascii="Times New Roman" w:hAnsi="Times New Roman" w:cs="Times New Roman"/>
          <w:sz w:val="24"/>
          <w:szCs w:val="24"/>
          <w:lang w:val="en-US"/>
        </w:rPr>
        <w:t xml:space="preserve">Khaira, N. (2023). Meningkatkan kemampuan berpikir kritis &amp; hasil belajar menggunakan model PBL dengan pendekatan TPACK. </w:t>
      </w:r>
      <w:r w:rsidRPr="00A37A64">
        <w:rPr>
          <w:rFonts w:ascii="Times New Roman" w:hAnsi="Times New Roman" w:cs="Times New Roman"/>
          <w:i/>
          <w:iCs/>
          <w:sz w:val="24"/>
          <w:szCs w:val="24"/>
          <w:lang w:val="en-US"/>
        </w:rPr>
        <w:t>Jurnal Pendidikan Sosial dan Konseling, 1</w:t>
      </w:r>
      <w:r w:rsidRPr="00A37A64">
        <w:rPr>
          <w:rFonts w:ascii="Times New Roman" w:hAnsi="Times New Roman" w:cs="Times New Roman"/>
          <w:sz w:val="24"/>
          <w:szCs w:val="24"/>
          <w:lang w:val="en-US"/>
        </w:rPr>
        <w:t xml:space="preserve">(3), 515–521. </w:t>
      </w:r>
      <w:hyperlink r:id="rId23" w:tgtFrame="_new" w:history="1">
        <w:r w:rsidRPr="00A37A64">
          <w:rPr>
            <w:rStyle w:val="Hyperlink"/>
            <w:rFonts w:ascii="Times New Roman" w:hAnsi="Times New Roman" w:cs="Times New Roman"/>
            <w:sz w:val="24"/>
            <w:szCs w:val="24"/>
            <w:lang w:val="en-US"/>
          </w:rPr>
          <w:t>https://doi.org/10.47233/jpdsk.v1i2.15</w:t>
        </w:r>
      </w:hyperlink>
    </w:p>
    <w:p w14:paraId="57C29336" w14:textId="77777777" w:rsidR="004038CB" w:rsidRPr="00A37A64" w:rsidRDefault="004038CB" w:rsidP="00A37A64">
      <w:pPr>
        <w:spacing w:before="120" w:after="120" w:line="240" w:lineRule="auto"/>
        <w:ind w:left="851" w:hanging="851"/>
        <w:jc w:val="both"/>
        <w:rPr>
          <w:rFonts w:ascii="Times New Roman" w:hAnsi="Times New Roman" w:cs="Times New Roman"/>
          <w:sz w:val="24"/>
          <w:szCs w:val="24"/>
          <w:lang w:val="en-US"/>
        </w:rPr>
      </w:pPr>
      <w:r w:rsidRPr="00A37A64">
        <w:rPr>
          <w:rFonts w:ascii="Times New Roman" w:hAnsi="Times New Roman" w:cs="Times New Roman"/>
          <w:sz w:val="24"/>
          <w:szCs w:val="24"/>
          <w:lang w:val="en-US"/>
        </w:rPr>
        <w:lastRenderedPageBreak/>
        <w:t xml:space="preserve">Khmel, N., &amp; Shpyrka, Z. (2025). Studying chemistry at school: Overcoming challenges together. </w:t>
      </w:r>
      <w:r w:rsidRPr="00A37A64">
        <w:rPr>
          <w:rFonts w:ascii="Times New Roman" w:hAnsi="Times New Roman" w:cs="Times New Roman"/>
          <w:i/>
          <w:iCs/>
          <w:sz w:val="24"/>
          <w:szCs w:val="24"/>
          <w:lang w:val="en-US"/>
        </w:rPr>
        <w:t>Journal of Vasyl Stefanyk Precarpathian National University, 12</w:t>
      </w:r>
      <w:r w:rsidRPr="00A37A64">
        <w:rPr>
          <w:rFonts w:ascii="Times New Roman" w:hAnsi="Times New Roman" w:cs="Times New Roman"/>
          <w:sz w:val="24"/>
          <w:szCs w:val="24"/>
          <w:lang w:val="en-US"/>
        </w:rPr>
        <w:t xml:space="preserve">(1), 151–160. </w:t>
      </w:r>
      <w:hyperlink r:id="rId24" w:tgtFrame="_new" w:history="1">
        <w:r w:rsidRPr="00A37A64">
          <w:rPr>
            <w:rStyle w:val="Hyperlink"/>
            <w:rFonts w:ascii="Times New Roman" w:hAnsi="Times New Roman" w:cs="Times New Roman"/>
            <w:sz w:val="24"/>
            <w:szCs w:val="24"/>
            <w:lang w:val="en-US"/>
          </w:rPr>
          <w:t>https://doi.org/10.15330/jpnu.12.1.151-160</w:t>
        </w:r>
      </w:hyperlink>
    </w:p>
    <w:p w14:paraId="5E965B74" w14:textId="77777777" w:rsidR="004038CB" w:rsidRDefault="004038CB" w:rsidP="00A37A64">
      <w:pPr>
        <w:spacing w:before="120" w:after="120" w:line="240" w:lineRule="auto"/>
        <w:ind w:left="851" w:hanging="851"/>
        <w:jc w:val="both"/>
        <w:rPr>
          <w:rFonts w:ascii="Times New Roman" w:hAnsi="Times New Roman" w:cs="Times New Roman"/>
          <w:sz w:val="24"/>
          <w:szCs w:val="24"/>
        </w:rPr>
      </w:pPr>
      <w:r w:rsidRPr="00B8249E">
        <w:rPr>
          <w:rFonts w:ascii="Times New Roman" w:hAnsi="Times New Roman" w:cs="Times New Roman"/>
          <w:sz w:val="24"/>
          <w:szCs w:val="24"/>
        </w:rPr>
        <w:t>Kosasih, A., Supriyadi, T., Firmansyah, M. I., &amp; Rahminawati, N. (2022). Higher-order thinking skills in primary school. </w:t>
      </w:r>
      <w:r w:rsidRPr="00B8249E">
        <w:rPr>
          <w:rFonts w:ascii="Times New Roman" w:hAnsi="Times New Roman" w:cs="Times New Roman"/>
          <w:i/>
          <w:iCs/>
          <w:sz w:val="24"/>
          <w:szCs w:val="24"/>
        </w:rPr>
        <w:t>Journal of Ethnic and Cultural Studies</w:t>
      </w:r>
      <w:r w:rsidRPr="00B8249E">
        <w:rPr>
          <w:rFonts w:ascii="Times New Roman" w:hAnsi="Times New Roman" w:cs="Times New Roman"/>
          <w:sz w:val="24"/>
          <w:szCs w:val="24"/>
        </w:rPr>
        <w:t>, </w:t>
      </w:r>
      <w:r w:rsidRPr="00B8249E">
        <w:rPr>
          <w:rFonts w:ascii="Times New Roman" w:hAnsi="Times New Roman" w:cs="Times New Roman"/>
          <w:i/>
          <w:iCs/>
          <w:sz w:val="24"/>
          <w:szCs w:val="24"/>
        </w:rPr>
        <w:t>9</w:t>
      </w:r>
      <w:r w:rsidRPr="00B8249E">
        <w:rPr>
          <w:rFonts w:ascii="Times New Roman" w:hAnsi="Times New Roman" w:cs="Times New Roman"/>
          <w:sz w:val="24"/>
          <w:szCs w:val="24"/>
        </w:rPr>
        <w:t>(1), 56-76.</w:t>
      </w:r>
    </w:p>
    <w:p w14:paraId="493F4D01" w14:textId="77777777" w:rsidR="004038CB" w:rsidRPr="00A37A64" w:rsidRDefault="004038CB" w:rsidP="00A37A64">
      <w:pPr>
        <w:spacing w:before="120" w:after="120" w:line="240" w:lineRule="auto"/>
        <w:ind w:left="851" w:hanging="851"/>
        <w:jc w:val="both"/>
        <w:rPr>
          <w:rFonts w:ascii="Times New Roman" w:hAnsi="Times New Roman" w:cs="Times New Roman"/>
          <w:sz w:val="24"/>
          <w:szCs w:val="24"/>
          <w:lang w:val="en-US"/>
        </w:rPr>
      </w:pPr>
      <w:r w:rsidRPr="00A37A64">
        <w:rPr>
          <w:rFonts w:ascii="Times New Roman" w:hAnsi="Times New Roman" w:cs="Times New Roman"/>
          <w:sz w:val="24"/>
          <w:szCs w:val="24"/>
          <w:lang w:val="en-US"/>
        </w:rPr>
        <w:t xml:space="preserve">Kraft-Terry, S. D., &amp; Wiebe, B. (2023). Using problem-based learning for training and development. In </w:t>
      </w:r>
      <w:r w:rsidRPr="00A37A64">
        <w:rPr>
          <w:rFonts w:ascii="Times New Roman" w:hAnsi="Times New Roman" w:cs="Times New Roman"/>
          <w:i/>
          <w:iCs/>
          <w:sz w:val="24"/>
          <w:szCs w:val="24"/>
          <w:lang w:val="en-US"/>
        </w:rPr>
        <w:t>Comprehensive Advisor Training and Development: Practices That Deliver</w:t>
      </w:r>
      <w:r w:rsidRPr="00A37A64">
        <w:rPr>
          <w:rFonts w:ascii="Times New Roman" w:hAnsi="Times New Roman" w:cs="Times New Roman"/>
          <w:sz w:val="24"/>
          <w:szCs w:val="24"/>
          <w:lang w:val="en-US"/>
        </w:rPr>
        <w:t xml:space="preserve"> (pp. 146–161). </w:t>
      </w:r>
      <w:hyperlink r:id="rId25" w:tgtFrame="_new" w:history="1">
        <w:r w:rsidRPr="00A37A64">
          <w:rPr>
            <w:rStyle w:val="Hyperlink"/>
            <w:rFonts w:ascii="Times New Roman" w:hAnsi="Times New Roman" w:cs="Times New Roman"/>
            <w:sz w:val="24"/>
            <w:szCs w:val="24"/>
            <w:lang w:val="en-US"/>
          </w:rPr>
          <w:t>https://doi.org/10.4324/9781003443551-15</w:t>
        </w:r>
      </w:hyperlink>
    </w:p>
    <w:p w14:paraId="1C79ED5E" w14:textId="77777777" w:rsidR="004038CB" w:rsidRDefault="004038CB" w:rsidP="00B8249E">
      <w:pPr>
        <w:spacing w:before="120" w:after="120" w:line="240" w:lineRule="auto"/>
        <w:ind w:left="851" w:hanging="851"/>
        <w:jc w:val="both"/>
        <w:rPr>
          <w:rFonts w:ascii="Times New Roman" w:hAnsi="Times New Roman" w:cs="Times New Roman"/>
          <w:sz w:val="24"/>
          <w:szCs w:val="24"/>
          <w:lang w:val="en-US"/>
        </w:rPr>
      </w:pPr>
      <w:r w:rsidRPr="00B8249E">
        <w:rPr>
          <w:rFonts w:ascii="Times New Roman" w:hAnsi="Times New Roman" w:cs="Times New Roman"/>
          <w:sz w:val="24"/>
          <w:szCs w:val="24"/>
        </w:rPr>
        <w:t>Kurniawan, E. S., Mundilarto, E. I., &amp; Istiyono, E. (2024). Improving student higher order thinking skills using Synectic-HOTS-oriented learning model. </w:t>
      </w:r>
      <w:r w:rsidRPr="00B8249E">
        <w:rPr>
          <w:rFonts w:ascii="Times New Roman" w:hAnsi="Times New Roman" w:cs="Times New Roman"/>
          <w:i/>
          <w:iCs/>
          <w:sz w:val="24"/>
          <w:szCs w:val="24"/>
        </w:rPr>
        <w:t>Int J Eval &amp; Res Educ ISSN</w:t>
      </w:r>
      <w:r w:rsidRPr="00B8249E">
        <w:rPr>
          <w:rFonts w:ascii="Times New Roman" w:hAnsi="Times New Roman" w:cs="Times New Roman"/>
          <w:sz w:val="24"/>
          <w:szCs w:val="24"/>
        </w:rPr>
        <w:t>, </w:t>
      </w:r>
      <w:r w:rsidRPr="00B8249E">
        <w:rPr>
          <w:rFonts w:ascii="Times New Roman" w:hAnsi="Times New Roman" w:cs="Times New Roman"/>
          <w:i/>
          <w:iCs/>
          <w:sz w:val="24"/>
          <w:szCs w:val="24"/>
        </w:rPr>
        <w:t>2252</w:t>
      </w:r>
      <w:r w:rsidRPr="00B8249E">
        <w:rPr>
          <w:rFonts w:ascii="Times New Roman" w:hAnsi="Times New Roman" w:cs="Times New Roman"/>
          <w:sz w:val="24"/>
          <w:szCs w:val="24"/>
        </w:rPr>
        <w:t>(8822), 1133.</w:t>
      </w:r>
    </w:p>
    <w:p w14:paraId="0C93E600" w14:textId="77777777" w:rsidR="004038CB" w:rsidRDefault="004038CB" w:rsidP="007546C9">
      <w:pPr>
        <w:spacing w:before="120" w:after="120" w:line="240" w:lineRule="auto"/>
        <w:ind w:left="851" w:hanging="851"/>
        <w:jc w:val="both"/>
        <w:rPr>
          <w:rFonts w:ascii="Times New Roman" w:hAnsi="Times New Roman" w:cs="Times New Roman"/>
          <w:sz w:val="24"/>
          <w:szCs w:val="24"/>
        </w:rPr>
      </w:pPr>
      <w:r w:rsidRPr="00353DE1">
        <w:rPr>
          <w:rFonts w:ascii="Times New Roman" w:hAnsi="Times New Roman" w:cs="Times New Roman"/>
          <w:sz w:val="24"/>
          <w:szCs w:val="24"/>
        </w:rPr>
        <w:t>Kusumadani, A. I., Afandy, H., Agustina, L., Astuti, R., &amp; Waluyo, M. (2025). Evaluation of Higher-Order Thinking Skills of Middle School Students on Vibration and Wave Topic Using Rasch Measurement. Jurnal Penelitian Pendidikan IPA, 11(5), 74-84.</w:t>
      </w:r>
      <w:r>
        <w:rPr>
          <w:rFonts w:ascii="Times New Roman" w:hAnsi="Times New Roman" w:cs="Times New Roman"/>
          <w:sz w:val="24"/>
          <w:szCs w:val="24"/>
        </w:rPr>
        <w:t xml:space="preserve"> </w:t>
      </w:r>
      <w:hyperlink r:id="rId26" w:history="1">
        <w:r w:rsidRPr="00BF2A71">
          <w:rPr>
            <w:rStyle w:val="Hyperlink"/>
            <w:rFonts w:ascii="Times New Roman" w:hAnsi="Times New Roman" w:cs="Times New Roman"/>
            <w:sz w:val="24"/>
            <w:szCs w:val="24"/>
          </w:rPr>
          <w:t>https://doi.org/10.29303/jppipa.v11i5.10900</w:t>
        </w:r>
      </w:hyperlink>
    </w:p>
    <w:p w14:paraId="20EB3FFB" w14:textId="77777777" w:rsidR="004038CB" w:rsidRPr="00A37A64" w:rsidRDefault="004038CB" w:rsidP="00A37A64">
      <w:pPr>
        <w:spacing w:before="120" w:after="120" w:line="240" w:lineRule="auto"/>
        <w:ind w:left="851" w:hanging="851"/>
        <w:jc w:val="both"/>
        <w:rPr>
          <w:rFonts w:ascii="Times New Roman" w:hAnsi="Times New Roman" w:cs="Times New Roman"/>
          <w:sz w:val="24"/>
          <w:szCs w:val="24"/>
          <w:lang w:val="en-US"/>
        </w:rPr>
      </w:pPr>
      <w:r w:rsidRPr="00A37A64">
        <w:rPr>
          <w:rFonts w:ascii="Times New Roman" w:hAnsi="Times New Roman" w:cs="Times New Roman"/>
          <w:sz w:val="24"/>
          <w:szCs w:val="24"/>
          <w:lang w:val="en-US"/>
        </w:rPr>
        <w:t xml:space="preserve">Lavonen, J., Vera-Vasquez, C. G., Inkinen, J., Juuti, K., Salmela-Aro, K., &amp; Villalba-Condori, K. (2023). Engaging students in secondary science learning through the scientific and engineering practices and use of digital tools. </w:t>
      </w:r>
      <w:r w:rsidRPr="00A37A64">
        <w:rPr>
          <w:rFonts w:ascii="Times New Roman" w:hAnsi="Times New Roman" w:cs="Times New Roman"/>
          <w:i/>
          <w:iCs/>
          <w:sz w:val="24"/>
          <w:szCs w:val="24"/>
          <w:lang w:val="en-US"/>
        </w:rPr>
        <w:t>CEUR Workshop Proceedings, 3353</w:t>
      </w:r>
      <w:r w:rsidRPr="00A37A64">
        <w:rPr>
          <w:rFonts w:ascii="Times New Roman" w:hAnsi="Times New Roman" w:cs="Times New Roman"/>
          <w:sz w:val="24"/>
          <w:szCs w:val="24"/>
          <w:lang w:val="en-US"/>
        </w:rPr>
        <w:t>, 92–100.</w:t>
      </w:r>
    </w:p>
    <w:p w14:paraId="7C023993" w14:textId="77777777" w:rsidR="004038CB" w:rsidRDefault="004038CB" w:rsidP="007546C9">
      <w:pPr>
        <w:spacing w:before="120" w:after="120" w:line="240" w:lineRule="auto"/>
        <w:ind w:left="851" w:hanging="851"/>
        <w:jc w:val="both"/>
        <w:rPr>
          <w:rFonts w:ascii="Times New Roman" w:hAnsi="Times New Roman" w:cs="Times New Roman"/>
          <w:sz w:val="24"/>
          <w:szCs w:val="24"/>
        </w:rPr>
      </w:pPr>
      <w:r w:rsidRPr="00B8249E">
        <w:rPr>
          <w:rFonts w:ascii="Times New Roman" w:hAnsi="Times New Roman" w:cs="Times New Roman"/>
          <w:sz w:val="24"/>
          <w:szCs w:val="24"/>
        </w:rPr>
        <w:t>Mardiana, N. (2024, October). The Impact of Digital Literacy on Improving Physics HOTS in Indonesia. In </w:t>
      </w:r>
      <w:r w:rsidRPr="00B8249E">
        <w:rPr>
          <w:rFonts w:ascii="Times New Roman" w:hAnsi="Times New Roman" w:cs="Times New Roman"/>
          <w:i/>
          <w:iCs/>
          <w:sz w:val="24"/>
          <w:szCs w:val="24"/>
        </w:rPr>
        <w:t>International Conference on Emerging Trends in Science Education</w:t>
      </w:r>
      <w:r w:rsidRPr="00B8249E">
        <w:rPr>
          <w:rFonts w:ascii="Times New Roman" w:hAnsi="Times New Roman" w:cs="Times New Roman"/>
          <w:sz w:val="24"/>
          <w:szCs w:val="24"/>
        </w:rPr>
        <w:t> (Vol. 1, pp. 185-194).</w:t>
      </w:r>
    </w:p>
    <w:p w14:paraId="7C67C1D9" w14:textId="77777777" w:rsidR="004038CB" w:rsidRDefault="004038CB" w:rsidP="007546C9">
      <w:pPr>
        <w:spacing w:before="120" w:after="120" w:line="240" w:lineRule="auto"/>
        <w:ind w:left="851" w:hanging="851"/>
        <w:jc w:val="both"/>
        <w:rPr>
          <w:rFonts w:ascii="Times New Roman" w:hAnsi="Times New Roman" w:cs="Times New Roman"/>
          <w:sz w:val="24"/>
          <w:szCs w:val="24"/>
        </w:rPr>
      </w:pPr>
      <w:r w:rsidRPr="00B8249E">
        <w:rPr>
          <w:rFonts w:ascii="Times New Roman" w:hAnsi="Times New Roman" w:cs="Times New Roman"/>
          <w:sz w:val="24"/>
          <w:szCs w:val="24"/>
        </w:rPr>
        <w:t>Mardiana, N., Maulina, B., Mardiani, N., Sabar, S., &amp; Collantes, L. M. (2025). Enhancing critical thinking skills through android-assisted virtual physics learning: A focus on hots development. </w:t>
      </w:r>
      <w:r w:rsidRPr="00B8249E">
        <w:rPr>
          <w:rFonts w:ascii="Times New Roman" w:hAnsi="Times New Roman" w:cs="Times New Roman"/>
          <w:i/>
          <w:iCs/>
          <w:sz w:val="24"/>
          <w:szCs w:val="24"/>
        </w:rPr>
        <w:t>Jurnal Ilmiah Ilmu Terapan Universitas Jambi</w:t>
      </w:r>
      <w:r w:rsidRPr="00B8249E">
        <w:rPr>
          <w:rFonts w:ascii="Times New Roman" w:hAnsi="Times New Roman" w:cs="Times New Roman"/>
          <w:sz w:val="24"/>
          <w:szCs w:val="24"/>
        </w:rPr>
        <w:t>, </w:t>
      </w:r>
      <w:r w:rsidRPr="00B8249E">
        <w:rPr>
          <w:rFonts w:ascii="Times New Roman" w:hAnsi="Times New Roman" w:cs="Times New Roman"/>
          <w:i/>
          <w:iCs/>
          <w:sz w:val="24"/>
          <w:szCs w:val="24"/>
        </w:rPr>
        <w:t>9</w:t>
      </w:r>
      <w:r w:rsidRPr="00B8249E">
        <w:rPr>
          <w:rFonts w:ascii="Times New Roman" w:hAnsi="Times New Roman" w:cs="Times New Roman"/>
          <w:sz w:val="24"/>
          <w:szCs w:val="24"/>
        </w:rPr>
        <w:t>(2), 513-526.</w:t>
      </w:r>
      <w:r>
        <w:rPr>
          <w:rFonts w:ascii="Times New Roman" w:hAnsi="Times New Roman" w:cs="Times New Roman"/>
          <w:sz w:val="24"/>
          <w:szCs w:val="24"/>
        </w:rPr>
        <w:t xml:space="preserve"> </w:t>
      </w:r>
      <w:hyperlink r:id="rId27" w:history="1">
        <w:r w:rsidRPr="00BF2A71">
          <w:rPr>
            <w:rStyle w:val="Hyperlink"/>
            <w:rFonts w:ascii="Times New Roman" w:hAnsi="Times New Roman" w:cs="Times New Roman"/>
            <w:sz w:val="24"/>
            <w:szCs w:val="24"/>
          </w:rPr>
          <w:t>https://doi.org/10.22437/jiituj.v9i2.34373</w:t>
        </w:r>
      </w:hyperlink>
    </w:p>
    <w:p w14:paraId="33848F01" w14:textId="77777777" w:rsidR="004038CB" w:rsidRPr="00A37A64" w:rsidRDefault="004038CB" w:rsidP="00A37A64">
      <w:pPr>
        <w:spacing w:before="120" w:after="120" w:line="240" w:lineRule="auto"/>
        <w:ind w:left="851" w:hanging="851"/>
        <w:jc w:val="both"/>
        <w:rPr>
          <w:rFonts w:ascii="Times New Roman" w:hAnsi="Times New Roman" w:cs="Times New Roman"/>
          <w:sz w:val="24"/>
          <w:szCs w:val="24"/>
          <w:lang w:val="en-US"/>
        </w:rPr>
      </w:pPr>
      <w:r w:rsidRPr="00A37A64">
        <w:rPr>
          <w:rFonts w:ascii="Times New Roman" w:hAnsi="Times New Roman" w:cs="Times New Roman"/>
          <w:sz w:val="24"/>
          <w:szCs w:val="24"/>
          <w:lang w:val="en-US"/>
        </w:rPr>
        <w:t xml:space="preserve">Mgeladze, A., Kapanadze, M., &amp; Chakhaia, L. (2024). From measuring to action: The next steps in physics teachers’ technological pedagogical content knowledge. </w:t>
      </w:r>
      <w:r w:rsidRPr="00A37A64">
        <w:rPr>
          <w:rFonts w:ascii="Times New Roman" w:hAnsi="Times New Roman" w:cs="Times New Roman"/>
          <w:i/>
          <w:iCs/>
          <w:sz w:val="24"/>
          <w:szCs w:val="24"/>
          <w:lang w:val="en-US"/>
        </w:rPr>
        <w:t>Science Education International, 35</w:t>
      </w:r>
      <w:r w:rsidRPr="00A37A64">
        <w:rPr>
          <w:rFonts w:ascii="Times New Roman" w:hAnsi="Times New Roman" w:cs="Times New Roman"/>
          <w:sz w:val="24"/>
          <w:szCs w:val="24"/>
          <w:lang w:val="en-US"/>
        </w:rPr>
        <w:t xml:space="preserve">(4), 429–438. </w:t>
      </w:r>
      <w:hyperlink r:id="rId28" w:tgtFrame="_new" w:history="1">
        <w:r w:rsidRPr="00A37A64">
          <w:rPr>
            <w:rStyle w:val="Hyperlink"/>
            <w:rFonts w:ascii="Times New Roman" w:hAnsi="Times New Roman" w:cs="Times New Roman"/>
            <w:sz w:val="24"/>
            <w:szCs w:val="24"/>
            <w:lang w:val="en-US"/>
          </w:rPr>
          <w:t>https://doi.org/10.33828/sei.v35.i4.13</w:t>
        </w:r>
      </w:hyperlink>
    </w:p>
    <w:p w14:paraId="7F6EE5DD" w14:textId="77777777" w:rsidR="004038CB" w:rsidRDefault="004038CB" w:rsidP="007546C9">
      <w:pPr>
        <w:spacing w:before="120" w:after="120" w:line="240" w:lineRule="auto"/>
        <w:ind w:left="851" w:hanging="851"/>
        <w:jc w:val="both"/>
        <w:rPr>
          <w:rFonts w:ascii="Times New Roman" w:hAnsi="Times New Roman" w:cs="Times New Roman"/>
          <w:sz w:val="24"/>
          <w:szCs w:val="24"/>
        </w:rPr>
      </w:pPr>
      <w:r w:rsidRPr="00353DE1">
        <w:rPr>
          <w:rFonts w:ascii="Times New Roman" w:hAnsi="Times New Roman" w:cs="Times New Roman"/>
          <w:sz w:val="24"/>
          <w:szCs w:val="24"/>
        </w:rPr>
        <w:t>Muharram, M. R. W., Wahyudin, Lidinillah, D. A. M., &amp; Mursyidah, D. (2025, November). Analysis of student errors in solving minimum competency assessment on scientific context numeracy competence using Newman’s error analysis procedure. In </w:t>
      </w:r>
      <w:r w:rsidRPr="00353DE1">
        <w:rPr>
          <w:rFonts w:ascii="Times New Roman" w:hAnsi="Times New Roman" w:cs="Times New Roman"/>
          <w:i/>
          <w:iCs/>
          <w:sz w:val="24"/>
          <w:szCs w:val="24"/>
        </w:rPr>
        <w:t>AIP Conference Proceedings</w:t>
      </w:r>
      <w:r w:rsidRPr="00353DE1">
        <w:rPr>
          <w:rFonts w:ascii="Times New Roman" w:hAnsi="Times New Roman" w:cs="Times New Roman"/>
          <w:sz w:val="24"/>
          <w:szCs w:val="24"/>
        </w:rPr>
        <w:t> (Vol. 3446, No. 1, p. 030045). AIP Publishing LLC.</w:t>
      </w:r>
    </w:p>
    <w:p w14:paraId="5C753A95" w14:textId="77777777" w:rsidR="004038CB" w:rsidRPr="00A37A64" w:rsidRDefault="004038CB" w:rsidP="00A37A64">
      <w:pPr>
        <w:spacing w:before="120" w:after="120" w:line="240" w:lineRule="auto"/>
        <w:ind w:left="851" w:hanging="851"/>
        <w:jc w:val="both"/>
        <w:rPr>
          <w:rFonts w:ascii="Times New Roman" w:hAnsi="Times New Roman" w:cs="Times New Roman"/>
          <w:sz w:val="24"/>
          <w:szCs w:val="24"/>
          <w:lang w:val="en-US"/>
        </w:rPr>
      </w:pPr>
      <w:r w:rsidRPr="00A37A64">
        <w:rPr>
          <w:rFonts w:ascii="Times New Roman" w:hAnsi="Times New Roman" w:cs="Times New Roman"/>
          <w:sz w:val="24"/>
          <w:szCs w:val="24"/>
          <w:lang w:val="en-US"/>
        </w:rPr>
        <w:t xml:space="preserve">NasirpourOsgoei, S. N., &amp; Obembe, D. (2025). Enhancing academic performance through attendance and recognition: An active learning approach in UK higher education. </w:t>
      </w:r>
      <w:r w:rsidRPr="00A37A64">
        <w:rPr>
          <w:rFonts w:ascii="Times New Roman" w:hAnsi="Times New Roman" w:cs="Times New Roman"/>
          <w:i/>
          <w:iCs/>
          <w:sz w:val="24"/>
          <w:szCs w:val="24"/>
          <w:lang w:val="en-US"/>
        </w:rPr>
        <w:t>Innovations in Education and Teaching International</w:t>
      </w:r>
      <w:r w:rsidRPr="00A37A64">
        <w:rPr>
          <w:rFonts w:ascii="Times New Roman" w:hAnsi="Times New Roman" w:cs="Times New Roman"/>
          <w:sz w:val="24"/>
          <w:szCs w:val="24"/>
          <w:lang w:val="en-US"/>
        </w:rPr>
        <w:t xml:space="preserve">. </w:t>
      </w:r>
      <w:hyperlink r:id="rId29" w:tgtFrame="_new" w:history="1">
        <w:r w:rsidRPr="00A37A64">
          <w:rPr>
            <w:rStyle w:val="Hyperlink"/>
            <w:rFonts w:ascii="Times New Roman" w:hAnsi="Times New Roman" w:cs="Times New Roman"/>
            <w:sz w:val="24"/>
            <w:szCs w:val="24"/>
            <w:lang w:val="en-US"/>
          </w:rPr>
          <w:t>https://doi.org/10.1080/14703297.2025.2539776</w:t>
        </w:r>
      </w:hyperlink>
    </w:p>
    <w:p w14:paraId="1855442B" w14:textId="77777777" w:rsidR="004038CB" w:rsidRPr="00A37A64" w:rsidRDefault="004038CB" w:rsidP="00A37A64">
      <w:pPr>
        <w:spacing w:before="120" w:after="120" w:line="240" w:lineRule="auto"/>
        <w:ind w:left="851" w:hanging="851"/>
        <w:jc w:val="both"/>
        <w:rPr>
          <w:rFonts w:ascii="Times New Roman" w:hAnsi="Times New Roman" w:cs="Times New Roman"/>
          <w:sz w:val="24"/>
          <w:szCs w:val="24"/>
          <w:lang w:val="en-US"/>
        </w:rPr>
      </w:pPr>
      <w:r w:rsidRPr="00A37A64">
        <w:rPr>
          <w:rFonts w:ascii="Times New Roman" w:hAnsi="Times New Roman" w:cs="Times New Roman"/>
          <w:sz w:val="24"/>
          <w:szCs w:val="24"/>
          <w:lang w:val="en-US"/>
        </w:rPr>
        <w:t xml:space="preserve">Nupen, D. M., &amp; Jagernath, J. (2024). Digital integration insights: Exploring highlights and challenges of numeracy lecturers in higher education. </w:t>
      </w:r>
      <w:r w:rsidRPr="00A37A64">
        <w:rPr>
          <w:rFonts w:ascii="Times New Roman" w:hAnsi="Times New Roman" w:cs="Times New Roman"/>
          <w:i/>
          <w:iCs/>
          <w:sz w:val="24"/>
          <w:szCs w:val="24"/>
          <w:lang w:val="en-US"/>
        </w:rPr>
        <w:t>Proceedings of the International Conference on Education Research (ICER 2024)</w:t>
      </w:r>
      <w:r w:rsidRPr="00A37A64">
        <w:rPr>
          <w:rFonts w:ascii="Times New Roman" w:hAnsi="Times New Roman" w:cs="Times New Roman"/>
          <w:sz w:val="24"/>
          <w:szCs w:val="24"/>
          <w:lang w:val="en-US"/>
        </w:rPr>
        <w:t>, 263–271.</w:t>
      </w:r>
    </w:p>
    <w:p w14:paraId="1A24D787" w14:textId="77777777" w:rsidR="004038CB" w:rsidRDefault="004038CB" w:rsidP="007546C9">
      <w:pPr>
        <w:spacing w:before="120" w:after="120" w:line="240" w:lineRule="auto"/>
        <w:ind w:left="851" w:hanging="851"/>
        <w:jc w:val="both"/>
        <w:rPr>
          <w:rFonts w:ascii="Times New Roman" w:hAnsi="Times New Roman" w:cs="Times New Roman"/>
          <w:sz w:val="24"/>
          <w:szCs w:val="24"/>
        </w:rPr>
      </w:pPr>
      <w:r w:rsidRPr="00353DE1">
        <w:rPr>
          <w:rFonts w:ascii="Times New Roman" w:hAnsi="Times New Roman" w:cs="Times New Roman"/>
          <w:sz w:val="24"/>
          <w:szCs w:val="24"/>
        </w:rPr>
        <w:t>Okada, A., Sherborne, T., Panselinas, G., &amp; Kolionis, G. (2025). Fostering transversal skills through open schooling supported by the CARE-KNOW-DO pedagogical model and the UNESCO AI competencies framework. </w:t>
      </w:r>
      <w:r w:rsidRPr="00353DE1">
        <w:rPr>
          <w:rFonts w:ascii="Times New Roman" w:hAnsi="Times New Roman" w:cs="Times New Roman"/>
          <w:i/>
          <w:iCs/>
          <w:sz w:val="24"/>
          <w:szCs w:val="24"/>
        </w:rPr>
        <w:t>International Journal of Artificial Intelligence in Education</w:t>
      </w:r>
      <w:r w:rsidRPr="00353DE1">
        <w:rPr>
          <w:rFonts w:ascii="Times New Roman" w:hAnsi="Times New Roman" w:cs="Times New Roman"/>
          <w:sz w:val="24"/>
          <w:szCs w:val="24"/>
        </w:rPr>
        <w:t>, 1-46.</w:t>
      </w:r>
    </w:p>
    <w:p w14:paraId="126D0879" w14:textId="77777777" w:rsidR="004038CB" w:rsidRDefault="004038CB" w:rsidP="007546C9">
      <w:pPr>
        <w:spacing w:before="120" w:after="120" w:line="240" w:lineRule="auto"/>
        <w:ind w:left="851" w:hanging="851"/>
        <w:jc w:val="both"/>
        <w:rPr>
          <w:rFonts w:ascii="Times New Roman" w:hAnsi="Times New Roman" w:cs="Times New Roman"/>
          <w:sz w:val="24"/>
          <w:szCs w:val="24"/>
        </w:rPr>
      </w:pPr>
      <w:r w:rsidRPr="00B8249E">
        <w:rPr>
          <w:rFonts w:ascii="Times New Roman" w:hAnsi="Times New Roman" w:cs="Times New Roman"/>
          <w:sz w:val="24"/>
          <w:szCs w:val="24"/>
        </w:rPr>
        <w:lastRenderedPageBreak/>
        <w:t>Phibeta, T., Ekawati, R., &amp; Wintarti, A. (2025). Senior High School Students' Numeracy in Solving Number Content AKM Problems in View of Adversity Quotient. </w:t>
      </w:r>
      <w:r w:rsidRPr="00B8249E">
        <w:rPr>
          <w:rFonts w:ascii="Times New Roman" w:hAnsi="Times New Roman" w:cs="Times New Roman"/>
          <w:i/>
          <w:iCs/>
          <w:sz w:val="24"/>
          <w:szCs w:val="24"/>
        </w:rPr>
        <w:t>Jurnal Riset Pendidikan dan Inovasi Pembelajaran Matematika</w:t>
      </w:r>
      <w:r w:rsidRPr="00B8249E">
        <w:rPr>
          <w:rFonts w:ascii="Times New Roman" w:hAnsi="Times New Roman" w:cs="Times New Roman"/>
          <w:sz w:val="24"/>
          <w:szCs w:val="24"/>
        </w:rPr>
        <w:t>, </w:t>
      </w:r>
      <w:r w:rsidRPr="00B8249E">
        <w:rPr>
          <w:rFonts w:ascii="Times New Roman" w:hAnsi="Times New Roman" w:cs="Times New Roman"/>
          <w:i/>
          <w:iCs/>
          <w:sz w:val="24"/>
          <w:szCs w:val="24"/>
        </w:rPr>
        <w:t>9</w:t>
      </w:r>
      <w:r w:rsidRPr="00B8249E">
        <w:rPr>
          <w:rFonts w:ascii="Times New Roman" w:hAnsi="Times New Roman" w:cs="Times New Roman"/>
          <w:sz w:val="24"/>
          <w:szCs w:val="24"/>
        </w:rPr>
        <w:t>(2), 182-196.</w:t>
      </w:r>
      <w:r>
        <w:rPr>
          <w:rFonts w:ascii="Times New Roman" w:hAnsi="Times New Roman" w:cs="Times New Roman"/>
          <w:sz w:val="24"/>
          <w:szCs w:val="24"/>
        </w:rPr>
        <w:t xml:space="preserve"> </w:t>
      </w:r>
      <w:hyperlink r:id="rId30" w:history="1">
        <w:r w:rsidRPr="00BF2A71">
          <w:rPr>
            <w:rStyle w:val="Hyperlink"/>
            <w:rFonts w:ascii="Times New Roman" w:hAnsi="Times New Roman" w:cs="Times New Roman"/>
            <w:sz w:val="24"/>
            <w:szCs w:val="24"/>
          </w:rPr>
          <w:t>https://doi.org/10.26740/jrpipm.v9n2.p182-196</w:t>
        </w:r>
      </w:hyperlink>
    </w:p>
    <w:p w14:paraId="7BEAC6CC" w14:textId="77777777" w:rsidR="004038CB" w:rsidRDefault="004038CB" w:rsidP="00B8249E">
      <w:pPr>
        <w:spacing w:before="120" w:after="120" w:line="240" w:lineRule="auto"/>
        <w:ind w:left="851" w:hanging="851"/>
        <w:jc w:val="both"/>
        <w:rPr>
          <w:rFonts w:ascii="Times New Roman" w:hAnsi="Times New Roman" w:cs="Times New Roman"/>
          <w:sz w:val="24"/>
          <w:szCs w:val="24"/>
        </w:rPr>
      </w:pPr>
      <w:r w:rsidRPr="00B8249E">
        <w:rPr>
          <w:rFonts w:ascii="Times New Roman" w:hAnsi="Times New Roman" w:cs="Times New Roman"/>
          <w:sz w:val="24"/>
          <w:szCs w:val="24"/>
        </w:rPr>
        <w:t>Pisriwati, S. A., Siswanto, D. H., Hardi, Y., &amp; Alghiffari, E. K. (2024). Question making training with LOTS, MOTS, and HOTS cognitive levels for high school teachers. </w:t>
      </w:r>
      <w:r w:rsidRPr="00B8249E">
        <w:rPr>
          <w:rFonts w:ascii="Times New Roman" w:hAnsi="Times New Roman" w:cs="Times New Roman"/>
          <w:i/>
          <w:iCs/>
          <w:sz w:val="24"/>
          <w:szCs w:val="24"/>
        </w:rPr>
        <w:t>Journal of Social and Community Development</w:t>
      </w:r>
      <w:r w:rsidRPr="00B8249E">
        <w:rPr>
          <w:rFonts w:ascii="Times New Roman" w:hAnsi="Times New Roman" w:cs="Times New Roman"/>
          <w:sz w:val="24"/>
          <w:szCs w:val="24"/>
        </w:rPr>
        <w:t>, </w:t>
      </w:r>
      <w:r w:rsidRPr="00B8249E">
        <w:rPr>
          <w:rFonts w:ascii="Times New Roman" w:hAnsi="Times New Roman" w:cs="Times New Roman"/>
          <w:i/>
          <w:iCs/>
          <w:sz w:val="24"/>
          <w:szCs w:val="24"/>
        </w:rPr>
        <w:t>1</w:t>
      </w:r>
      <w:r w:rsidRPr="00B8249E">
        <w:rPr>
          <w:rFonts w:ascii="Times New Roman" w:hAnsi="Times New Roman" w:cs="Times New Roman"/>
          <w:sz w:val="24"/>
          <w:szCs w:val="24"/>
        </w:rPr>
        <w:t>(01), 9-18.</w:t>
      </w:r>
      <w:r>
        <w:rPr>
          <w:rFonts w:ascii="Times New Roman" w:hAnsi="Times New Roman" w:cs="Times New Roman"/>
          <w:sz w:val="24"/>
          <w:szCs w:val="24"/>
        </w:rPr>
        <w:t xml:space="preserve"> </w:t>
      </w:r>
      <w:hyperlink r:id="rId31" w:history="1">
        <w:r w:rsidRPr="00BF2A71">
          <w:rPr>
            <w:rStyle w:val="Hyperlink"/>
            <w:rFonts w:ascii="Times New Roman" w:hAnsi="Times New Roman" w:cs="Times New Roman"/>
            <w:sz w:val="24"/>
            <w:szCs w:val="24"/>
          </w:rPr>
          <w:t>https://doi.org/10.56741/jscd.v1i01.666</w:t>
        </w:r>
      </w:hyperlink>
    </w:p>
    <w:p w14:paraId="78D96CD4" w14:textId="77777777" w:rsidR="004038CB" w:rsidRPr="00A37A64" w:rsidRDefault="004038CB" w:rsidP="00A37A64">
      <w:pPr>
        <w:spacing w:before="120" w:after="120" w:line="240" w:lineRule="auto"/>
        <w:ind w:left="851" w:hanging="851"/>
        <w:jc w:val="both"/>
        <w:rPr>
          <w:rFonts w:ascii="Times New Roman" w:hAnsi="Times New Roman" w:cs="Times New Roman"/>
          <w:sz w:val="24"/>
          <w:szCs w:val="24"/>
          <w:lang w:val="en-US"/>
        </w:rPr>
      </w:pPr>
      <w:r w:rsidRPr="00A37A64">
        <w:rPr>
          <w:rFonts w:ascii="Times New Roman" w:hAnsi="Times New Roman" w:cs="Times New Roman"/>
          <w:sz w:val="24"/>
          <w:szCs w:val="24"/>
          <w:lang w:val="en-US"/>
        </w:rPr>
        <w:t xml:space="preserve">Praviesta, A., Handini, O., &amp; Mustofa, M. (2024). Pengaruh model pembelajaran problem based learning (PBL) berbasis TPACK terhadap hasil belajar peserta didik kelas IV pada mata pelajaran IPAS SD Negeri 01 Munggur. </w:t>
      </w:r>
      <w:r w:rsidRPr="00A37A64">
        <w:rPr>
          <w:rFonts w:ascii="Times New Roman" w:hAnsi="Times New Roman" w:cs="Times New Roman"/>
          <w:i/>
          <w:iCs/>
          <w:sz w:val="24"/>
          <w:szCs w:val="24"/>
          <w:lang w:val="en-US"/>
        </w:rPr>
        <w:t>Algoritma: Jurnal Matematika, Ilmu Pengetahuan Alam, Kebumian dan Angkasa, 2</w:t>
      </w:r>
      <w:r w:rsidRPr="00A37A64">
        <w:rPr>
          <w:rFonts w:ascii="Times New Roman" w:hAnsi="Times New Roman" w:cs="Times New Roman"/>
          <w:sz w:val="24"/>
          <w:szCs w:val="24"/>
          <w:lang w:val="en-US"/>
        </w:rPr>
        <w:t xml:space="preserve">(6), 20–33. </w:t>
      </w:r>
      <w:hyperlink r:id="rId32" w:tgtFrame="_new" w:history="1">
        <w:r w:rsidRPr="00A37A64">
          <w:rPr>
            <w:rStyle w:val="Hyperlink"/>
            <w:rFonts w:ascii="Times New Roman" w:hAnsi="Times New Roman" w:cs="Times New Roman"/>
            <w:sz w:val="24"/>
            <w:szCs w:val="24"/>
            <w:lang w:val="en-US"/>
          </w:rPr>
          <w:t>https://doi.org/10.62383/algoritma.v2i6.273</w:t>
        </w:r>
      </w:hyperlink>
    </w:p>
    <w:p w14:paraId="4830F06F" w14:textId="77777777" w:rsidR="004038CB" w:rsidRPr="00A37A64" w:rsidRDefault="004038CB" w:rsidP="00A37A64">
      <w:pPr>
        <w:spacing w:before="120" w:after="120" w:line="240" w:lineRule="auto"/>
        <w:ind w:left="851" w:hanging="851"/>
        <w:jc w:val="both"/>
        <w:rPr>
          <w:rFonts w:ascii="Times New Roman" w:hAnsi="Times New Roman" w:cs="Times New Roman"/>
          <w:sz w:val="24"/>
          <w:szCs w:val="24"/>
          <w:lang w:val="en-US"/>
        </w:rPr>
      </w:pPr>
      <w:r w:rsidRPr="00A37A64">
        <w:rPr>
          <w:rFonts w:ascii="Times New Roman" w:hAnsi="Times New Roman" w:cs="Times New Roman"/>
          <w:sz w:val="24"/>
          <w:szCs w:val="24"/>
          <w:lang w:val="en-US"/>
        </w:rPr>
        <w:t xml:space="preserve">Promwongsai, A., &amp; Poonputta, A. (2023). Investigating the effectiveness of TPACK and TGT in enhancing histogram learning achievement among eighth-grade students. </w:t>
      </w:r>
      <w:r w:rsidRPr="00A37A64">
        <w:rPr>
          <w:rFonts w:ascii="Times New Roman" w:hAnsi="Times New Roman" w:cs="Times New Roman"/>
          <w:i/>
          <w:iCs/>
          <w:sz w:val="24"/>
          <w:szCs w:val="24"/>
          <w:lang w:val="en-US"/>
        </w:rPr>
        <w:t>International Journal of Innovative Research and Scientific Studies, 6</w:t>
      </w:r>
      <w:r w:rsidRPr="00A37A64">
        <w:rPr>
          <w:rFonts w:ascii="Times New Roman" w:hAnsi="Times New Roman" w:cs="Times New Roman"/>
          <w:sz w:val="24"/>
          <w:szCs w:val="24"/>
          <w:lang w:val="en-US"/>
        </w:rPr>
        <w:t xml:space="preserve">(4), 1015–1022. </w:t>
      </w:r>
      <w:hyperlink r:id="rId33" w:tgtFrame="_new" w:history="1">
        <w:r w:rsidRPr="00A37A64">
          <w:rPr>
            <w:rStyle w:val="Hyperlink"/>
            <w:rFonts w:ascii="Times New Roman" w:hAnsi="Times New Roman" w:cs="Times New Roman"/>
            <w:sz w:val="24"/>
            <w:szCs w:val="24"/>
            <w:lang w:val="en-US"/>
          </w:rPr>
          <w:t>https://doi.org/10.53894/ijirss.v6i4.2232</w:t>
        </w:r>
      </w:hyperlink>
    </w:p>
    <w:p w14:paraId="1884B010" w14:textId="77777777" w:rsidR="004038CB" w:rsidRDefault="004038CB" w:rsidP="007546C9">
      <w:pPr>
        <w:spacing w:before="120" w:after="120" w:line="240" w:lineRule="auto"/>
        <w:ind w:left="851" w:hanging="851"/>
        <w:jc w:val="both"/>
        <w:rPr>
          <w:rFonts w:ascii="Times New Roman" w:hAnsi="Times New Roman" w:cs="Times New Roman"/>
          <w:sz w:val="24"/>
          <w:szCs w:val="24"/>
        </w:rPr>
      </w:pPr>
      <w:r w:rsidRPr="00353DE1">
        <w:rPr>
          <w:rFonts w:ascii="Times New Roman" w:hAnsi="Times New Roman" w:cs="Times New Roman"/>
          <w:sz w:val="24"/>
          <w:szCs w:val="24"/>
        </w:rPr>
        <w:t>Puspitasari, M. (2025). Investigating EFL teachers’ perceptions on the implementation of higher order thinking skills in semi-urban area. </w:t>
      </w:r>
      <w:r w:rsidRPr="00353DE1">
        <w:rPr>
          <w:rFonts w:ascii="Times New Roman" w:hAnsi="Times New Roman" w:cs="Times New Roman"/>
          <w:i/>
          <w:iCs/>
          <w:sz w:val="24"/>
          <w:szCs w:val="24"/>
        </w:rPr>
        <w:t>Utamax: Journal of Ultimate Research and Trends in Education</w:t>
      </w:r>
      <w:r w:rsidRPr="00353DE1">
        <w:rPr>
          <w:rFonts w:ascii="Times New Roman" w:hAnsi="Times New Roman" w:cs="Times New Roman"/>
          <w:sz w:val="24"/>
          <w:szCs w:val="24"/>
        </w:rPr>
        <w:t>, </w:t>
      </w:r>
      <w:r w:rsidRPr="00353DE1">
        <w:rPr>
          <w:rFonts w:ascii="Times New Roman" w:hAnsi="Times New Roman" w:cs="Times New Roman"/>
          <w:i/>
          <w:iCs/>
          <w:sz w:val="24"/>
          <w:szCs w:val="24"/>
        </w:rPr>
        <w:t>7</w:t>
      </w:r>
      <w:r w:rsidRPr="00353DE1">
        <w:rPr>
          <w:rFonts w:ascii="Times New Roman" w:hAnsi="Times New Roman" w:cs="Times New Roman"/>
          <w:sz w:val="24"/>
          <w:szCs w:val="24"/>
        </w:rPr>
        <w:t>(1), 1-11.</w:t>
      </w:r>
    </w:p>
    <w:p w14:paraId="35631235" w14:textId="77777777" w:rsidR="004038CB" w:rsidRDefault="004038CB" w:rsidP="00B8249E">
      <w:pPr>
        <w:spacing w:before="120" w:after="120" w:line="240" w:lineRule="auto"/>
        <w:ind w:left="851" w:hanging="851"/>
        <w:jc w:val="both"/>
        <w:rPr>
          <w:rFonts w:ascii="Times New Roman" w:hAnsi="Times New Roman" w:cs="Times New Roman"/>
          <w:sz w:val="24"/>
          <w:szCs w:val="24"/>
        </w:rPr>
      </w:pPr>
      <w:r w:rsidRPr="00B8249E">
        <w:rPr>
          <w:rFonts w:ascii="Times New Roman" w:hAnsi="Times New Roman" w:cs="Times New Roman"/>
          <w:sz w:val="24"/>
          <w:szCs w:val="24"/>
        </w:rPr>
        <w:t>Ragab, A., Kaid, A., &amp; Sayed, A. K. (2024). Enhancing higher order thinking skills (hots) in education: Strategies and outcomes. </w:t>
      </w:r>
      <w:r w:rsidRPr="00B8249E">
        <w:rPr>
          <w:rFonts w:ascii="Times New Roman" w:hAnsi="Times New Roman" w:cs="Times New Roman"/>
          <w:i/>
          <w:iCs/>
          <w:sz w:val="24"/>
          <w:szCs w:val="24"/>
        </w:rPr>
        <w:t>TOFEDU: The Future of Education Journal</w:t>
      </w:r>
      <w:r w:rsidRPr="00B8249E">
        <w:rPr>
          <w:rFonts w:ascii="Times New Roman" w:hAnsi="Times New Roman" w:cs="Times New Roman"/>
          <w:sz w:val="24"/>
          <w:szCs w:val="24"/>
        </w:rPr>
        <w:t>, </w:t>
      </w:r>
      <w:r w:rsidRPr="00B8249E">
        <w:rPr>
          <w:rFonts w:ascii="Times New Roman" w:hAnsi="Times New Roman" w:cs="Times New Roman"/>
          <w:i/>
          <w:iCs/>
          <w:sz w:val="24"/>
          <w:szCs w:val="24"/>
        </w:rPr>
        <w:t>3</w:t>
      </w:r>
      <w:r w:rsidRPr="00B8249E">
        <w:rPr>
          <w:rFonts w:ascii="Times New Roman" w:hAnsi="Times New Roman" w:cs="Times New Roman"/>
          <w:sz w:val="24"/>
          <w:szCs w:val="24"/>
        </w:rPr>
        <w:t>(5), 1488-1499.</w:t>
      </w:r>
      <w:r>
        <w:rPr>
          <w:rFonts w:ascii="Times New Roman" w:hAnsi="Times New Roman" w:cs="Times New Roman"/>
          <w:sz w:val="24"/>
          <w:szCs w:val="24"/>
        </w:rPr>
        <w:t xml:space="preserve"> </w:t>
      </w:r>
      <w:hyperlink r:id="rId34" w:history="1">
        <w:r w:rsidRPr="00BF2A71">
          <w:rPr>
            <w:rStyle w:val="Hyperlink"/>
            <w:rFonts w:ascii="Times New Roman" w:hAnsi="Times New Roman" w:cs="Times New Roman"/>
            <w:sz w:val="24"/>
            <w:szCs w:val="24"/>
          </w:rPr>
          <w:t>https://doi.org/10.61445/tofedu.v3i5.267</w:t>
        </w:r>
      </w:hyperlink>
    </w:p>
    <w:p w14:paraId="34BE3E2A" w14:textId="77777777" w:rsidR="004038CB" w:rsidRPr="00A37A64" w:rsidRDefault="004038CB" w:rsidP="00A37A64">
      <w:pPr>
        <w:spacing w:before="120" w:after="120" w:line="240" w:lineRule="auto"/>
        <w:ind w:left="851" w:hanging="851"/>
        <w:jc w:val="both"/>
        <w:rPr>
          <w:rFonts w:ascii="Times New Roman" w:hAnsi="Times New Roman" w:cs="Times New Roman"/>
          <w:sz w:val="24"/>
          <w:szCs w:val="24"/>
          <w:lang w:val="en-US"/>
        </w:rPr>
      </w:pPr>
      <w:r w:rsidRPr="00A37A64">
        <w:rPr>
          <w:rFonts w:ascii="Times New Roman" w:hAnsi="Times New Roman" w:cs="Times New Roman"/>
          <w:sz w:val="24"/>
          <w:szCs w:val="24"/>
          <w:lang w:val="en-US"/>
        </w:rPr>
        <w:t xml:space="preserve">Ramo, N. L., Hald, E. S., Huang-Saad, A., &amp; Fang, Q. (2020). Work-in-progress: The development and implementation of self-reflection participation logs in an English-taught engineering program in China. </w:t>
      </w:r>
      <w:r w:rsidRPr="00A37A64">
        <w:rPr>
          <w:rFonts w:ascii="Times New Roman" w:hAnsi="Times New Roman" w:cs="Times New Roman"/>
          <w:i/>
          <w:iCs/>
          <w:sz w:val="24"/>
          <w:szCs w:val="24"/>
          <w:lang w:val="en-US"/>
        </w:rPr>
        <w:t>ASEE Annual Conference and Exposition, Conference Proceedings</w:t>
      </w:r>
      <w:r w:rsidRPr="00A37A64">
        <w:rPr>
          <w:rFonts w:ascii="Times New Roman" w:hAnsi="Times New Roman" w:cs="Times New Roman"/>
          <w:sz w:val="24"/>
          <w:szCs w:val="24"/>
          <w:lang w:val="en-US"/>
        </w:rPr>
        <w:t>.</w:t>
      </w:r>
    </w:p>
    <w:p w14:paraId="0163B2F8" w14:textId="77777777" w:rsidR="004038CB" w:rsidRDefault="004038CB" w:rsidP="007546C9">
      <w:pPr>
        <w:spacing w:before="120" w:after="120" w:line="240" w:lineRule="auto"/>
        <w:ind w:left="851" w:hanging="851"/>
        <w:jc w:val="both"/>
        <w:rPr>
          <w:rFonts w:ascii="Times New Roman" w:hAnsi="Times New Roman" w:cs="Times New Roman"/>
          <w:sz w:val="24"/>
          <w:szCs w:val="24"/>
        </w:rPr>
      </w:pPr>
      <w:r w:rsidRPr="00353DE1">
        <w:rPr>
          <w:rFonts w:ascii="Times New Roman" w:hAnsi="Times New Roman" w:cs="Times New Roman"/>
          <w:sz w:val="24"/>
          <w:szCs w:val="24"/>
        </w:rPr>
        <w:t>Rosmawati, E., Wulandari, B. A., &amp; Widowati, A. (2025). Feasibility study of daily test items for 5th grade IPAS based on Bloom's taxonomy in elementary school. </w:t>
      </w:r>
      <w:r w:rsidRPr="00353DE1">
        <w:rPr>
          <w:rFonts w:ascii="Times New Roman" w:hAnsi="Times New Roman" w:cs="Times New Roman"/>
          <w:i/>
          <w:iCs/>
          <w:sz w:val="24"/>
          <w:szCs w:val="24"/>
        </w:rPr>
        <w:t>Journal of Innovation and Research in Primary Education</w:t>
      </w:r>
      <w:r w:rsidRPr="00353DE1">
        <w:rPr>
          <w:rFonts w:ascii="Times New Roman" w:hAnsi="Times New Roman" w:cs="Times New Roman"/>
          <w:sz w:val="24"/>
          <w:szCs w:val="24"/>
        </w:rPr>
        <w:t>, </w:t>
      </w:r>
      <w:r w:rsidRPr="00353DE1">
        <w:rPr>
          <w:rFonts w:ascii="Times New Roman" w:hAnsi="Times New Roman" w:cs="Times New Roman"/>
          <w:i/>
          <w:iCs/>
          <w:sz w:val="24"/>
          <w:szCs w:val="24"/>
        </w:rPr>
        <w:t>4</w:t>
      </w:r>
      <w:r w:rsidRPr="00353DE1">
        <w:rPr>
          <w:rFonts w:ascii="Times New Roman" w:hAnsi="Times New Roman" w:cs="Times New Roman"/>
          <w:sz w:val="24"/>
          <w:szCs w:val="24"/>
        </w:rPr>
        <w:t>(2), 94-102.</w:t>
      </w:r>
    </w:p>
    <w:p w14:paraId="68D5822C" w14:textId="77777777" w:rsidR="004038CB" w:rsidRPr="00A37A64" w:rsidRDefault="004038CB" w:rsidP="00A37A64">
      <w:pPr>
        <w:spacing w:before="120" w:after="120" w:line="240" w:lineRule="auto"/>
        <w:ind w:left="851" w:hanging="851"/>
        <w:jc w:val="both"/>
        <w:rPr>
          <w:rFonts w:ascii="Times New Roman" w:hAnsi="Times New Roman" w:cs="Times New Roman"/>
          <w:sz w:val="24"/>
          <w:szCs w:val="24"/>
          <w:lang w:val="en-US"/>
        </w:rPr>
      </w:pPr>
      <w:r w:rsidRPr="00A37A64">
        <w:rPr>
          <w:rFonts w:ascii="Times New Roman" w:hAnsi="Times New Roman" w:cs="Times New Roman"/>
          <w:sz w:val="24"/>
          <w:szCs w:val="24"/>
          <w:lang w:val="en-US"/>
        </w:rPr>
        <w:t xml:space="preserve">Sahidin, L., &amp; Prajono, R. (2022). Eksplorasi TPACK dalam mendukung keterampilan berpikir tingkat tinggi (Exploration of TPACK in supporting high order thinking skills). </w:t>
      </w:r>
      <w:r w:rsidRPr="00A37A64">
        <w:rPr>
          <w:rFonts w:ascii="Times New Roman" w:hAnsi="Times New Roman" w:cs="Times New Roman"/>
          <w:i/>
          <w:iCs/>
          <w:sz w:val="24"/>
          <w:szCs w:val="24"/>
          <w:lang w:val="en-US"/>
        </w:rPr>
        <w:t>Jurnal Pendidikan Matematika, 13</w:t>
      </w:r>
      <w:r w:rsidRPr="00A37A64">
        <w:rPr>
          <w:rFonts w:ascii="Times New Roman" w:hAnsi="Times New Roman" w:cs="Times New Roman"/>
          <w:sz w:val="24"/>
          <w:szCs w:val="24"/>
          <w:lang w:val="en-US"/>
        </w:rPr>
        <w:t xml:space="preserve">(2), 212–227. </w:t>
      </w:r>
      <w:hyperlink r:id="rId35" w:tgtFrame="_new" w:history="1">
        <w:r w:rsidRPr="00A37A64">
          <w:rPr>
            <w:rStyle w:val="Hyperlink"/>
            <w:rFonts w:ascii="Times New Roman" w:hAnsi="Times New Roman" w:cs="Times New Roman"/>
            <w:sz w:val="24"/>
            <w:szCs w:val="24"/>
            <w:lang w:val="en-US"/>
          </w:rPr>
          <w:t>https://doi.org/10.36709/jpm.v13i2.15</w:t>
        </w:r>
      </w:hyperlink>
    </w:p>
    <w:p w14:paraId="61EFC706" w14:textId="77777777" w:rsidR="004038CB" w:rsidRDefault="004038CB" w:rsidP="007546C9">
      <w:pPr>
        <w:spacing w:before="120" w:after="120" w:line="240" w:lineRule="auto"/>
        <w:ind w:left="851" w:hanging="851"/>
        <w:jc w:val="both"/>
        <w:rPr>
          <w:rFonts w:ascii="Times New Roman" w:hAnsi="Times New Roman" w:cs="Times New Roman"/>
          <w:sz w:val="24"/>
          <w:szCs w:val="24"/>
        </w:rPr>
      </w:pPr>
      <w:r w:rsidRPr="00353DE1">
        <w:rPr>
          <w:rFonts w:ascii="Times New Roman" w:hAnsi="Times New Roman" w:cs="Times New Roman"/>
          <w:sz w:val="24"/>
          <w:szCs w:val="24"/>
        </w:rPr>
        <w:t>Sihanita, Y. K., Priambodo, A., &amp; Tuasikal, A. R. S. (2024). TPCK (Technological pedagogical and content Knowledge) competence for educator: A literature review. </w:t>
      </w:r>
      <w:r w:rsidRPr="00353DE1">
        <w:rPr>
          <w:rFonts w:ascii="Times New Roman" w:hAnsi="Times New Roman" w:cs="Times New Roman"/>
          <w:i/>
          <w:iCs/>
          <w:sz w:val="24"/>
          <w:szCs w:val="24"/>
        </w:rPr>
        <w:t>EDUKASIA Jurnal Pendidikan Dan Pembelajaran</w:t>
      </w:r>
      <w:r w:rsidRPr="00353DE1">
        <w:rPr>
          <w:rFonts w:ascii="Times New Roman" w:hAnsi="Times New Roman" w:cs="Times New Roman"/>
          <w:sz w:val="24"/>
          <w:szCs w:val="24"/>
        </w:rPr>
        <w:t>, </w:t>
      </w:r>
      <w:r w:rsidRPr="00353DE1">
        <w:rPr>
          <w:rFonts w:ascii="Times New Roman" w:hAnsi="Times New Roman" w:cs="Times New Roman"/>
          <w:i/>
          <w:iCs/>
          <w:sz w:val="24"/>
          <w:szCs w:val="24"/>
        </w:rPr>
        <w:t>5</w:t>
      </w:r>
      <w:r w:rsidRPr="00353DE1">
        <w:rPr>
          <w:rFonts w:ascii="Times New Roman" w:hAnsi="Times New Roman" w:cs="Times New Roman"/>
          <w:sz w:val="24"/>
          <w:szCs w:val="24"/>
        </w:rPr>
        <w:t>(2), 77-92.</w:t>
      </w:r>
      <w:r>
        <w:rPr>
          <w:rFonts w:ascii="Times New Roman" w:hAnsi="Times New Roman" w:cs="Times New Roman"/>
          <w:sz w:val="24"/>
          <w:szCs w:val="24"/>
        </w:rPr>
        <w:t xml:space="preserve"> </w:t>
      </w:r>
      <w:hyperlink r:id="rId36" w:history="1">
        <w:r w:rsidRPr="00BF2A71">
          <w:rPr>
            <w:rStyle w:val="Hyperlink"/>
            <w:rFonts w:ascii="Times New Roman" w:hAnsi="Times New Roman" w:cs="Times New Roman"/>
            <w:sz w:val="24"/>
            <w:szCs w:val="24"/>
          </w:rPr>
          <w:t>https://doi.org/10.62775/edukasia.v5i2.851</w:t>
        </w:r>
      </w:hyperlink>
    </w:p>
    <w:p w14:paraId="46B30BD8" w14:textId="77777777" w:rsidR="004038CB" w:rsidRDefault="004038CB" w:rsidP="007546C9">
      <w:pPr>
        <w:spacing w:before="120" w:after="120" w:line="240" w:lineRule="auto"/>
        <w:ind w:left="851" w:hanging="851"/>
        <w:jc w:val="both"/>
        <w:rPr>
          <w:rFonts w:ascii="Times New Roman" w:hAnsi="Times New Roman" w:cs="Times New Roman"/>
          <w:sz w:val="24"/>
          <w:szCs w:val="24"/>
        </w:rPr>
      </w:pPr>
      <w:r w:rsidRPr="00B8249E">
        <w:rPr>
          <w:rFonts w:ascii="Times New Roman" w:hAnsi="Times New Roman" w:cs="Times New Roman"/>
          <w:sz w:val="24"/>
          <w:szCs w:val="24"/>
        </w:rPr>
        <w:t>Siregar, N., &amp; Siregar, R. S. (2025). Analysis of numeracy literacy of junior high school students in AKM questions: Learning strategies based on higher order thinking skills at SMP Negeri 5 Tapung Hilir. </w:t>
      </w:r>
      <w:r w:rsidRPr="00B8249E">
        <w:rPr>
          <w:rFonts w:ascii="Times New Roman" w:hAnsi="Times New Roman" w:cs="Times New Roman"/>
          <w:i/>
          <w:iCs/>
          <w:sz w:val="24"/>
          <w:szCs w:val="24"/>
        </w:rPr>
        <w:t>Jurnal Profesi Guru Indonesia</w:t>
      </w:r>
      <w:r w:rsidRPr="00B8249E">
        <w:rPr>
          <w:rFonts w:ascii="Times New Roman" w:hAnsi="Times New Roman" w:cs="Times New Roman"/>
          <w:sz w:val="24"/>
          <w:szCs w:val="24"/>
        </w:rPr>
        <w:t>, </w:t>
      </w:r>
      <w:r w:rsidRPr="00B8249E">
        <w:rPr>
          <w:rFonts w:ascii="Times New Roman" w:hAnsi="Times New Roman" w:cs="Times New Roman"/>
          <w:i/>
          <w:iCs/>
          <w:sz w:val="24"/>
          <w:szCs w:val="24"/>
        </w:rPr>
        <w:t>2</w:t>
      </w:r>
      <w:r w:rsidRPr="00B8249E">
        <w:rPr>
          <w:rFonts w:ascii="Times New Roman" w:hAnsi="Times New Roman" w:cs="Times New Roman"/>
          <w:sz w:val="24"/>
          <w:szCs w:val="24"/>
        </w:rPr>
        <w:t>(1), 359-367.</w:t>
      </w:r>
      <w:r>
        <w:rPr>
          <w:rFonts w:ascii="Times New Roman" w:hAnsi="Times New Roman" w:cs="Times New Roman"/>
          <w:sz w:val="24"/>
          <w:szCs w:val="24"/>
        </w:rPr>
        <w:t xml:space="preserve"> </w:t>
      </w:r>
      <w:hyperlink r:id="rId37" w:history="1">
        <w:r w:rsidRPr="00BF2A71">
          <w:rPr>
            <w:rStyle w:val="Hyperlink"/>
            <w:rFonts w:ascii="Times New Roman" w:hAnsi="Times New Roman" w:cs="Times New Roman"/>
            <w:sz w:val="24"/>
            <w:szCs w:val="24"/>
          </w:rPr>
          <w:t>https://doi.org/10.62945/jpgi.v2i1.720</w:t>
        </w:r>
      </w:hyperlink>
    </w:p>
    <w:p w14:paraId="5DDA2F10" w14:textId="77777777" w:rsidR="004038CB" w:rsidRPr="00B8249E" w:rsidRDefault="004038CB" w:rsidP="00B8249E">
      <w:pPr>
        <w:spacing w:before="120" w:after="120" w:line="240" w:lineRule="auto"/>
        <w:ind w:left="851" w:hanging="851"/>
        <w:jc w:val="both"/>
        <w:rPr>
          <w:rFonts w:ascii="Times New Roman" w:hAnsi="Times New Roman" w:cs="Times New Roman"/>
          <w:sz w:val="24"/>
          <w:szCs w:val="24"/>
          <w:lang w:val="en-US"/>
        </w:rPr>
      </w:pPr>
      <w:r w:rsidRPr="00B8249E">
        <w:rPr>
          <w:rFonts w:ascii="Times New Roman" w:hAnsi="Times New Roman" w:cs="Times New Roman"/>
          <w:sz w:val="24"/>
          <w:szCs w:val="24"/>
        </w:rPr>
        <w:t>Siregar, T. (2025). Implementation of Problem-Based Learning (PBL) Model to Enhance Higher-Order Thinking Skills (HOTS). </w:t>
      </w:r>
      <w:r w:rsidRPr="00B8249E">
        <w:rPr>
          <w:rFonts w:ascii="Times New Roman" w:hAnsi="Times New Roman" w:cs="Times New Roman"/>
          <w:i/>
          <w:iCs/>
          <w:sz w:val="24"/>
          <w:szCs w:val="24"/>
        </w:rPr>
        <w:t>Available at SSRN 5709306</w:t>
      </w:r>
      <w:r w:rsidRPr="00B8249E">
        <w:rPr>
          <w:rFonts w:ascii="Times New Roman" w:hAnsi="Times New Roman" w:cs="Times New Roman"/>
          <w:sz w:val="24"/>
          <w:szCs w:val="24"/>
        </w:rPr>
        <w:t>.</w:t>
      </w:r>
    </w:p>
    <w:p w14:paraId="164C719A" w14:textId="77777777" w:rsidR="004038CB" w:rsidRPr="00A37A64" w:rsidRDefault="004038CB" w:rsidP="00A37A64">
      <w:pPr>
        <w:spacing w:before="120" w:after="120" w:line="240" w:lineRule="auto"/>
        <w:ind w:left="851" w:hanging="851"/>
        <w:jc w:val="both"/>
        <w:rPr>
          <w:rFonts w:ascii="Times New Roman" w:hAnsi="Times New Roman" w:cs="Times New Roman"/>
          <w:sz w:val="24"/>
          <w:szCs w:val="24"/>
          <w:lang w:val="en-US"/>
        </w:rPr>
      </w:pPr>
      <w:r w:rsidRPr="00A37A64">
        <w:rPr>
          <w:rFonts w:ascii="Times New Roman" w:hAnsi="Times New Roman" w:cs="Times New Roman"/>
          <w:sz w:val="24"/>
          <w:szCs w:val="24"/>
          <w:lang w:val="en-US"/>
        </w:rPr>
        <w:lastRenderedPageBreak/>
        <w:t xml:space="preserve">Susilawati, S., Supriyatno, T., Yasin, A. F., Chakim, A., &amp; Putri, C. A. (2025). The effect of TPACK-based contextual teaching and learning model on student learning outcomes. </w:t>
      </w:r>
      <w:r w:rsidRPr="00A37A64">
        <w:rPr>
          <w:rFonts w:ascii="Times New Roman" w:hAnsi="Times New Roman" w:cs="Times New Roman"/>
          <w:i/>
          <w:iCs/>
          <w:sz w:val="24"/>
          <w:szCs w:val="24"/>
          <w:lang w:val="en-US"/>
        </w:rPr>
        <w:t>Educational Process: International Journal, 16</w:t>
      </w:r>
      <w:r w:rsidRPr="00A37A64">
        <w:rPr>
          <w:rFonts w:ascii="Times New Roman" w:hAnsi="Times New Roman" w:cs="Times New Roman"/>
          <w:sz w:val="24"/>
          <w:szCs w:val="24"/>
          <w:lang w:val="en-US"/>
        </w:rPr>
        <w:t xml:space="preserve">. </w:t>
      </w:r>
      <w:hyperlink r:id="rId38" w:tgtFrame="_new" w:history="1">
        <w:r w:rsidRPr="00A37A64">
          <w:rPr>
            <w:rStyle w:val="Hyperlink"/>
            <w:rFonts w:ascii="Times New Roman" w:hAnsi="Times New Roman" w:cs="Times New Roman"/>
            <w:sz w:val="24"/>
            <w:szCs w:val="24"/>
            <w:lang w:val="en-US"/>
          </w:rPr>
          <w:t>https://doi.org/10.22521/edupij.2025.16.279</w:t>
        </w:r>
      </w:hyperlink>
    </w:p>
    <w:p w14:paraId="0DAECCEE" w14:textId="77777777" w:rsidR="004038CB" w:rsidRPr="00A37A64" w:rsidRDefault="004038CB" w:rsidP="00A37A64">
      <w:pPr>
        <w:spacing w:before="120" w:after="120" w:line="240" w:lineRule="auto"/>
        <w:ind w:left="851" w:hanging="851"/>
        <w:jc w:val="both"/>
        <w:rPr>
          <w:rFonts w:ascii="Times New Roman" w:hAnsi="Times New Roman" w:cs="Times New Roman"/>
          <w:sz w:val="24"/>
          <w:szCs w:val="24"/>
          <w:lang w:val="en-US"/>
        </w:rPr>
      </w:pPr>
      <w:r w:rsidRPr="00A37A64">
        <w:rPr>
          <w:rFonts w:ascii="Times New Roman" w:hAnsi="Times New Roman" w:cs="Times New Roman"/>
          <w:sz w:val="24"/>
          <w:szCs w:val="24"/>
          <w:lang w:val="en-US"/>
        </w:rPr>
        <w:t xml:space="preserve">Tanjung, S., Ampera, D., &amp; Jahidin, I. (2022). Problem based learning (PBL) model with technological, pedagogical, and content knowledge (TPACK) approach. </w:t>
      </w:r>
      <w:r w:rsidRPr="00A37A64">
        <w:rPr>
          <w:rFonts w:ascii="Times New Roman" w:hAnsi="Times New Roman" w:cs="Times New Roman"/>
          <w:i/>
          <w:iCs/>
          <w:sz w:val="24"/>
          <w:szCs w:val="24"/>
          <w:lang w:val="en-US"/>
        </w:rPr>
        <w:t>International Journal of Education in Mathematics, Science and Technology, 10</w:t>
      </w:r>
      <w:r w:rsidRPr="00A37A64">
        <w:rPr>
          <w:rFonts w:ascii="Times New Roman" w:hAnsi="Times New Roman" w:cs="Times New Roman"/>
          <w:sz w:val="24"/>
          <w:szCs w:val="24"/>
          <w:lang w:val="en-US"/>
        </w:rPr>
        <w:t xml:space="preserve">(3), 740–752. </w:t>
      </w:r>
      <w:hyperlink r:id="rId39" w:tgtFrame="_new" w:history="1">
        <w:r w:rsidRPr="00A37A64">
          <w:rPr>
            <w:rStyle w:val="Hyperlink"/>
            <w:rFonts w:ascii="Times New Roman" w:hAnsi="Times New Roman" w:cs="Times New Roman"/>
            <w:sz w:val="24"/>
            <w:szCs w:val="24"/>
            <w:lang w:val="en-US"/>
          </w:rPr>
          <w:t>https://doi.org/10.46328/ijemst.2510</w:t>
        </w:r>
      </w:hyperlink>
    </w:p>
    <w:p w14:paraId="05F891D8" w14:textId="77777777" w:rsidR="004038CB" w:rsidRDefault="004038CB" w:rsidP="007546C9">
      <w:pPr>
        <w:spacing w:before="120" w:after="120" w:line="240" w:lineRule="auto"/>
        <w:ind w:left="851" w:hanging="851"/>
        <w:jc w:val="both"/>
        <w:rPr>
          <w:rFonts w:ascii="Times New Roman" w:hAnsi="Times New Roman" w:cs="Times New Roman"/>
          <w:sz w:val="24"/>
          <w:szCs w:val="24"/>
        </w:rPr>
      </w:pPr>
      <w:r w:rsidRPr="00353DE1">
        <w:rPr>
          <w:rFonts w:ascii="Times New Roman" w:hAnsi="Times New Roman" w:cs="Times New Roman"/>
          <w:sz w:val="24"/>
          <w:szCs w:val="24"/>
        </w:rPr>
        <w:t>Taufiqurrahman, T., Fathonah, S., Ahmadi, F., Arsyad, A. A., &amp; Rahman, S. (2025). Problem-Based Learning Model Assisted by Interactive Media to Improve Students Higher Order Thinking Skills (HOTS). </w:t>
      </w:r>
      <w:r w:rsidRPr="00353DE1">
        <w:rPr>
          <w:rFonts w:ascii="Times New Roman" w:hAnsi="Times New Roman" w:cs="Times New Roman"/>
          <w:i/>
          <w:iCs/>
          <w:sz w:val="24"/>
          <w:szCs w:val="24"/>
        </w:rPr>
        <w:t>Jurnal Penelitian Pendidikan IPA</w:t>
      </w:r>
      <w:r w:rsidRPr="00353DE1">
        <w:rPr>
          <w:rFonts w:ascii="Times New Roman" w:hAnsi="Times New Roman" w:cs="Times New Roman"/>
          <w:sz w:val="24"/>
          <w:szCs w:val="24"/>
        </w:rPr>
        <w:t>, </w:t>
      </w:r>
      <w:r w:rsidRPr="00353DE1">
        <w:rPr>
          <w:rFonts w:ascii="Times New Roman" w:hAnsi="Times New Roman" w:cs="Times New Roman"/>
          <w:i/>
          <w:iCs/>
          <w:sz w:val="24"/>
          <w:szCs w:val="24"/>
        </w:rPr>
        <w:t>11</w:t>
      </w:r>
      <w:r w:rsidRPr="00353DE1">
        <w:rPr>
          <w:rFonts w:ascii="Times New Roman" w:hAnsi="Times New Roman" w:cs="Times New Roman"/>
          <w:sz w:val="24"/>
          <w:szCs w:val="24"/>
        </w:rPr>
        <w:t>(1), 1234-1243.</w:t>
      </w:r>
      <w:r>
        <w:rPr>
          <w:rFonts w:ascii="Times New Roman" w:hAnsi="Times New Roman" w:cs="Times New Roman"/>
          <w:sz w:val="24"/>
          <w:szCs w:val="24"/>
        </w:rPr>
        <w:t xml:space="preserve"> </w:t>
      </w:r>
      <w:hyperlink r:id="rId40" w:history="1">
        <w:r w:rsidRPr="00BF2A71">
          <w:rPr>
            <w:rStyle w:val="Hyperlink"/>
            <w:rFonts w:ascii="Times New Roman" w:hAnsi="Times New Roman" w:cs="Times New Roman"/>
            <w:sz w:val="24"/>
            <w:szCs w:val="24"/>
          </w:rPr>
          <w:t>https://doi.org/10.29303/jppipa.v11i1.6649</w:t>
        </w:r>
      </w:hyperlink>
    </w:p>
    <w:p w14:paraId="2BFFB49B" w14:textId="77777777" w:rsidR="004038CB" w:rsidRDefault="004038CB" w:rsidP="007546C9">
      <w:pPr>
        <w:spacing w:before="120" w:after="120" w:line="240" w:lineRule="auto"/>
        <w:ind w:left="851" w:hanging="851"/>
        <w:jc w:val="both"/>
        <w:rPr>
          <w:rFonts w:ascii="Times New Roman" w:hAnsi="Times New Roman" w:cs="Times New Roman"/>
          <w:sz w:val="24"/>
          <w:szCs w:val="24"/>
        </w:rPr>
      </w:pPr>
      <w:r w:rsidRPr="00353DE1">
        <w:rPr>
          <w:rFonts w:ascii="Times New Roman" w:hAnsi="Times New Roman" w:cs="Times New Roman"/>
          <w:sz w:val="24"/>
          <w:szCs w:val="24"/>
        </w:rPr>
        <w:t>Thohir, M. A., Jumadi, J., &amp; Warsono, W. (2022). Technological pedagogical content knowledge (TPACK) of pre-service science teachers: A Delphi study. </w:t>
      </w:r>
      <w:r w:rsidRPr="00353DE1">
        <w:rPr>
          <w:rFonts w:ascii="Times New Roman" w:hAnsi="Times New Roman" w:cs="Times New Roman"/>
          <w:i/>
          <w:iCs/>
          <w:sz w:val="24"/>
          <w:szCs w:val="24"/>
        </w:rPr>
        <w:t>Journal of Research on Technology in Education</w:t>
      </w:r>
      <w:r w:rsidRPr="00353DE1">
        <w:rPr>
          <w:rFonts w:ascii="Times New Roman" w:hAnsi="Times New Roman" w:cs="Times New Roman"/>
          <w:sz w:val="24"/>
          <w:szCs w:val="24"/>
        </w:rPr>
        <w:t>, </w:t>
      </w:r>
      <w:r w:rsidRPr="00353DE1">
        <w:rPr>
          <w:rFonts w:ascii="Times New Roman" w:hAnsi="Times New Roman" w:cs="Times New Roman"/>
          <w:i/>
          <w:iCs/>
          <w:sz w:val="24"/>
          <w:szCs w:val="24"/>
        </w:rPr>
        <w:t>54</w:t>
      </w:r>
      <w:r w:rsidRPr="00353DE1">
        <w:rPr>
          <w:rFonts w:ascii="Times New Roman" w:hAnsi="Times New Roman" w:cs="Times New Roman"/>
          <w:sz w:val="24"/>
          <w:szCs w:val="24"/>
        </w:rPr>
        <w:t>(1), 127-142.</w:t>
      </w:r>
      <w:r>
        <w:rPr>
          <w:rFonts w:ascii="Times New Roman" w:hAnsi="Times New Roman" w:cs="Times New Roman"/>
          <w:sz w:val="24"/>
          <w:szCs w:val="24"/>
        </w:rPr>
        <w:t xml:space="preserve"> </w:t>
      </w:r>
      <w:hyperlink r:id="rId41" w:history="1">
        <w:r w:rsidRPr="00BF2A71">
          <w:rPr>
            <w:rStyle w:val="Hyperlink"/>
            <w:rFonts w:ascii="Times New Roman" w:hAnsi="Times New Roman" w:cs="Times New Roman"/>
            <w:sz w:val="24"/>
            <w:szCs w:val="24"/>
          </w:rPr>
          <w:t>https://doi.org/10.1080/15391523.2020.1814908</w:t>
        </w:r>
      </w:hyperlink>
    </w:p>
    <w:p w14:paraId="0BC06D70" w14:textId="77777777" w:rsidR="004038CB" w:rsidRDefault="004038CB" w:rsidP="00A37A64">
      <w:pPr>
        <w:spacing w:before="120" w:after="120" w:line="240" w:lineRule="auto"/>
        <w:ind w:left="851" w:hanging="851"/>
        <w:jc w:val="both"/>
        <w:rPr>
          <w:rFonts w:ascii="Times New Roman" w:hAnsi="Times New Roman" w:cs="Times New Roman"/>
          <w:sz w:val="24"/>
          <w:szCs w:val="24"/>
        </w:rPr>
      </w:pPr>
      <w:r w:rsidRPr="00A37A64">
        <w:rPr>
          <w:rFonts w:ascii="Times New Roman" w:hAnsi="Times New Roman" w:cs="Times New Roman"/>
          <w:sz w:val="24"/>
          <w:szCs w:val="24"/>
          <w:lang w:val="en-US"/>
        </w:rPr>
        <w:t xml:space="preserve">Yanuarto, W. N., Hapsari, I., &amp; Setyaningsih, E. (2023). Modeling the effect of higher-order thinking skills and technological pedagogical content knowledge on students’ digital literacy. </w:t>
      </w:r>
      <w:r w:rsidRPr="00A37A64">
        <w:rPr>
          <w:rFonts w:ascii="Times New Roman" w:hAnsi="Times New Roman" w:cs="Times New Roman"/>
          <w:i/>
          <w:iCs/>
          <w:sz w:val="24"/>
          <w:szCs w:val="24"/>
          <w:lang w:val="en-US"/>
        </w:rPr>
        <w:t>Journal of Applied Structural Equation Modeling, 7</w:t>
      </w:r>
      <w:r w:rsidRPr="00A37A64">
        <w:rPr>
          <w:rFonts w:ascii="Times New Roman" w:hAnsi="Times New Roman" w:cs="Times New Roman"/>
          <w:sz w:val="24"/>
          <w:szCs w:val="24"/>
          <w:lang w:val="en-US"/>
        </w:rPr>
        <w:t xml:space="preserve">(2). </w:t>
      </w:r>
      <w:hyperlink r:id="rId42" w:tgtFrame="_new" w:history="1">
        <w:r w:rsidRPr="00A37A64">
          <w:rPr>
            <w:rStyle w:val="Hyperlink"/>
            <w:rFonts w:ascii="Times New Roman" w:hAnsi="Times New Roman" w:cs="Times New Roman"/>
            <w:sz w:val="24"/>
            <w:szCs w:val="24"/>
            <w:lang w:val="en-US"/>
          </w:rPr>
          <w:t>https://doi.org/10.47263/JASEM.7(6)06</w:t>
        </w:r>
      </w:hyperlink>
    </w:p>
    <w:p w14:paraId="42650469" w14:textId="77777777" w:rsidR="0077397C" w:rsidRDefault="0077397C" w:rsidP="007546C9">
      <w:pPr>
        <w:spacing w:before="120" w:after="120" w:line="240" w:lineRule="auto"/>
        <w:ind w:left="851" w:hanging="851"/>
        <w:jc w:val="both"/>
        <w:rPr>
          <w:rFonts w:ascii="Times New Roman" w:hAnsi="Times New Roman" w:cs="Times New Roman"/>
          <w:sz w:val="24"/>
          <w:szCs w:val="24"/>
        </w:rPr>
      </w:pPr>
    </w:p>
    <w:p w14:paraId="5A442D1A" w14:textId="77777777" w:rsidR="00353DE1" w:rsidRPr="007546C9" w:rsidRDefault="00353DE1" w:rsidP="007546C9">
      <w:pPr>
        <w:spacing w:before="120" w:after="120" w:line="240" w:lineRule="auto"/>
        <w:ind w:left="851" w:hanging="851"/>
        <w:jc w:val="both"/>
        <w:rPr>
          <w:rFonts w:ascii="Times New Roman" w:hAnsi="Times New Roman" w:cs="Times New Roman"/>
          <w:sz w:val="24"/>
          <w:szCs w:val="24"/>
        </w:rPr>
      </w:pPr>
    </w:p>
    <w:sectPr w:rsidR="00353DE1" w:rsidRPr="007546C9" w:rsidSect="00242D9A">
      <w:headerReference w:type="even" r:id="rId43"/>
      <w:footerReference w:type="even" r:id="rId44"/>
      <w:footerReference w:type="default" r:id="rId45"/>
      <w:headerReference w:type="first" r:id="rId46"/>
      <w:footerReference w:type="first" r:id="rId47"/>
      <w:pgSz w:w="11906" w:h="16838"/>
      <w:pgMar w:top="1702" w:right="1440" w:bottom="1440" w:left="1440" w:header="510" w:footer="680" w:gutter="0"/>
      <w:pgNumType w:start="913"/>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19F002" w14:textId="77777777" w:rsidR="00141681" w:rsidRDefault="00141681">
      <w:pPr>
        <w:spacing w:after="0" w:line="240" w:lineRule="auto"/>
      </w:pPr>
      <w:r>
        <w:separator/>
      </w:r>
    </w:p>
  </w:endnote>
  <w:endnote w:type="continuationSeparator" w:id="0">
    <w:p w14:paraId="5B497651" w14:textId="77777777" w:rsidR="00141681" w:rsidRDefault="0014168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Bahnschrift">
    <w:panose1 w:val="020B0502040204020203"/>
    <w:charset w:val="00"/>
    <w:family w:val="swiss"/>
    <w:pitch w:val="variable"/>
    <w:sig w:usb0="A00002C7" w:usb1="00000002"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D817ED" w14:textId="77777777" w:rsidR="005E6463" w:rsidRDefault="005E6463">
    <w:pPr>
      <w:pBdr>
        <w:top w:val="nil"/>
        <w:left w:val="nil"/>
        <w:bottom w:val="nil"/>
        <w:right w:val="nil"/>
        <w:between w:val="nil"/>
      </w:pBdr>
      <w:tabs>
        <w:tab w:val="center" w:pos="4513"/>
        <w:tab w:val="right" w:pos="9026"/>
      </w:tabs>
      <w:spacing w:after="0" w:line="240" w:lineRule="auto"/>
      <w:rPr>
        <w:color w:val="000000"/>
      </w:rPr>
    </w:pPr>
  </w:p>
  <w:p w14:paraId="3AA98E72" w14:textId="77777777" w:rsidR="005E6463" w:rsidRDefault="005E6463"/>
  <w:p w14:paraId="260BE2CA" w14:textId="77777777" w:rsidR="005E6463" w:rsidRDefault="005E6463"/>
  <w:p w14:paraId="4FFEFB94" w14:textId="77777777" w:rsidR="005E6463" w:rsidRDefault="005E6463"/>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29013384"/>
      <w:docPartObj>
        <w:docPartGallery w:val="Page Numbers (Bottom of Page)"/>
        <w:docPartUnique/>
      </w:docPartObj>
    </w:sdtPr>
    <w:sdtEndPr>
      <w:rPr>
        <w:noProof/>
      </w:rPr>
    </w:sdtEndPr>
    <w:sdtContent>
      <w:p w14:paraId="69EDEF9A" w14:textId="77777777" w:rsidR="005E6463" w:rsidRDefault="005E6463">
        <w:pPr>
          <w:pStyle w:val="Footer"/>
          <w:jc w:val="right"/>
        </w:pPr>
        <w:r>
          <w:fldChar w:fldCharType="begin"/>
        </w:r>
        <w:r>
          <w:instrText xml:space="preserve"> PAGE   \* MERGEFORMAT </w:instrText>
        </w:r>
        <w:r>
          <w:fldChar w:fldCharType="separate"/>
        </w:r>
        <w:r>
          <w:rPr>
            <w:noProof/>
          </w:rPr>
          <w:t>10</w:t>
        </w:r>
        <w:r>
          <w:rPr>
            <w:noProof/>
          </w:rPr>
          <w:fldChar w:fldCharType="end"/>
        </w:r>
      </w:p>
    </w:sdtContent>
  </w:sdt>
  <w:p w14:paraId="680DC9C6" w14:textId="77777777" w:rsidR="005E6463" w:rsidRDefault="005E6463" w:rsidP="00206634">
    <w:pPr>
      <w:pBdr>
        <w:top w:val="nil"/>
        <w:left w:val="nil"/>
        <w:bottom w:val="nil"/>
        <w:right w:val="nil"/>
        <w:between w:val="nil"/>
      </w:pBdr>
      <w:tabs>
        <w:tab w:val="center" w:pos="4513"/>
        <w:tab w:val="right" w:pos="9026"/>
      </w:tabs>
      <w:spacing w:after="0" w:line="240" w:lineRule="auto"/>
      <w:rPr>
        <w:rFonts w:ascii="Times New Roman" w:hAnsi="Times New Roman" w:cs="Times New Roman"/>
        <w:i/>
        <w:iCs/>
      </w:rPr>
    </w:pPr>
    <w:bookmarkStart w:id="32" w:name="_Hlk34501048"/>
    <w:bookmarkStart w:id="33" w:name="_Hlk34501049"/>
    <w:r>
      <w:rPr>
        <w:rFonts w:ascii="Times New Roman" w:hAnsi="Times New Roman" w:cs="Times New Roman"/>
        <w:i/>
        <w:iCs/>
      </w:rPr>
      <w:t>ISSN 2721</w:t>
    </w:r>
    <w:r w:rsidRPr="00206634">
      <w:rPr>
        <w:rFonts w:ascii="Times New Roman" w:hAnsi="Times New Roman" w:cs="Times New Roman"/>
        <w:i/>
        <w:iCs/>
      </w:rPr>
      <w:t>-</w:t>
    </w:r>
    <w:r>
      <w:rPr>
        <w:rFonts w:ascii="Times New Roman" w:hAnsi="Times New Roman" w:cs="Times New Roman"/>
        <w:i/>
        <w:iCs/>
      </w:rPr>
      <w:t>0979 (Print), ISSN 2721</w:t>
    </w:r>
    <w:r w:rsidRPr="00206634">
      <w:rPr>
        <w:rFonts w:ascii="Times New Roman" w:hAnsi="Times New Roman" w:cs="Times New Roman"/>
        <w:i/>
        <w:iCs/>
      </w:rPr>
      <w:t>-1258 (Online</w:t>
    </w:r>
    <w:r>
      <w:rPr>
        <w:rFonts w:ascii="Times New Roman" w:hAnsi="Times New Roman" w:cs="Times New Roman"/>
        <w:i/>
        <w:iCs/>
      </w:rPr>
      <w:t>)</w:t>
    </w:r>
  </w:p>
  <w:p w14:paraId="345B92EA" w14:textId="4F37E1FA" w:rsidR="005E6463" w:rsidRPr="00447F8F" w:rsidRDefault="005E6463" w:rsidP="00447F8F">
    <w:pPr>
      <w:pBdr>
        <w:top w:val="nil"/>
        <w:left w:val="nil"/>
        <w:bottom w:val="nil"/>
        <w:right w:val="nil"/>
        <w:between w:val="nil"/>
      </w:pBdr>
      <w:tabs>
        <w:tab w:val="center" w:pos="4513"/>
        <w:tab w:val="right" w:pos="9026"/>
      </w:tabs>
      <w:spacing w:after="0" w:line="240" w:lineRule="auto"/>
      <w:rPr>
        <w:color w:val="000000"/>
      </w:rPr>
    </w:pPr>
    <w:r w:rsidRPr="00167217">
      <w:rPr>
        <w:rFonts w:ascii="Times New Roman" w:hAnsi="Times New Roman" w:cs="Times New Roman"/>
        <w:i/>
        <w:iCs/>
      </w:rPr>
      <w:t>Copyright © 20</w:t>
    </w:r>
    <w:r>
      <w:rPr>
        <w:rFonts w:ascii="Times New Roman" w:hAnsi="Times New Roman" w:cs="Times New Roman"/>
        <w:i/>
        <w:iCs/>
        <w:lang w:val="id-ID"/>
      </w:rPr>
      <w:t>2</w:t>
    </w:r>
    <w:r>
      <w:rPr>
        <w:rFonts w:ascii="Times New Roman" w:hAnsi="Times New Roman" w:cs="Times New Roman"/>
        <w:i/>
        <w:iCs/>
        <w:lang w:val="en-US"/>
      </w:rPr>
      <w:t>6</w:t>
    </w:r>
    <w:r w:rsidRPr="00167217">
      <w:rPr>
        <w:rFonts w:ascii="Times New Roman" w:hAnsi="Times New Roman" w:cs="Times New Roman"/>
        <w:i/>
        <w:iCs/>
      </w:rPr>
      <w:t xml:space="preserve">, Journal La </w:t>
    </w:r>
    <w:r>
      <w:rPr>
        <w:rFonts w:ascii="Times New Roman" w:hAnsi="Times New Roman" w:cs="Times New Roman"/>
        <w:i/>
        <w:iCs/>
        <w:lang w:val="id-ID"/>
      </w:rPr>
      <w:t>Edusci</w:t>
    </w:r>
    <w:r w:rsidRPr="00167217">
      <w:rPr>
        <w:rFonts w:ascii="Times New Roman" w:hAnsi="Times New Roman" w:cs="Times New Roman"/>
        <w:i/>
        <w:iCs/>
      </w:rPr>
      <w:t>, Under the license CC BY-SA 4.0</w:t>
    </w:r>
    <w:bookmarkEnd w:id="32"/>
    <w:bookmarkEnd w:id="33"/>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7ED1C0" w14:textId="77777777" w:rsidR="005E6463" w:rsidRDefault="005E6463">
    <w:pPr>
      <w:pBdr>
        <w:top w:val="nil"/>
        <w:left w:val="nil"/>
        <w:bottom w:val="nil"/>
        <w:right w:val="nil"/>
        <w:between w:val="nil"/>
      </w:pBdr>
      <w:tabs>
        <w:tab w:val="center" w:pos="4513"/>
        <w:tab w:val="right" w:pos="9026"/>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53FB35" w14:textId="77777777" w:rsidR="00141681" w:rsidRDefault="00141681">
      <w:pPr>
        <w:spacing w:after="0" w:line="240" w:lineRule="auto"/>
      </w:pPr>
      <w:r>
        <w:separator/>
      </w:r>
    </w:p>
  </w:footnote>
  <w:footnote w:type="continuationSeparator" w:id="0">
    <w:p w14:paraId="521D0028" w14:textId="77777777" w:rsidR="00141681" w:rsidRDefault="0014168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627055" w14:textId="77777777" w:rsidR="005E6463" w:rsidRDefault="005E6463">
    <w:pPr>
      <w:pBdr>
        <w:top w:val="nil"/>
        <w:left w:val="nil"/>
        <w:bottom w:val="nil"/>
        <w:right w:val="nil"/>
        <w:between w:val="nil"/>
      </w:pBdr>
      <w:tabs>
        <w:tab w:val="center" w:pos="4513"/>
        <w:tab w:val="right" w:pos="9026"/>
      </w:tabs>
      <w:spacing w:after="0" w:line="240" w:lineRule="auto"/>
      <w:rPr>
        <w:color w:val="000000"/>
      </w:rPr>
    </w:pPr>
  </w:p>
  <w:p w14:paraId="7AEF9715" w14:textId="77777777" w:rsidR="005E6463" w:rsidRDefault="005E6463"/>
  <w:p w14:paraId="3C1E3929" w14:textId="77777777" w:rsidR="005E6463" w:rsidRDefault="005E6463"/>
  <w:p w14:paraId="5418CF22" w14:textId="77777777" w:rsidR="005E6463" w:rsidRDefault="005E6463"/>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7F9FEE" w14:textId="77777777" w:rsidR="005E6463" w:rsidRDefault="005E6463">
    <w:pPr>
      <w:pBdr>
        <w:top w:val="nil"/>
        <w:left w:val="nil"/>
        <w:bottom w:val="nil"/>
        <w:right w:val="nil"/>
        <w:between w:val="nil"/>
      </w:pBdr>
      <w:tabs>
        <w:tab w:val="center" w:pos="4513"/>
        <w:tab w:val="right" w:pos="9026"/>
      </w:tabs>
      <w:spacing w:after="0" w:line="240" w:lineRule="auto"/>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15:restartNumberingAfterBreak="0">
    <w:nsid w:val="08BB0CE6"/>
    <w:multiLevelType w:val="hybridMultilevel"/>
    <w:tmpl w:val="4728186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8E31A56"/>
    <w:multiLevelType w:val="hybridMultilevel"/>
    <w:tmpl w:val="FFD8B09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A1E5DF6"/>
    <w:multiLevelType w:val="hybridMultilevel"/>
    <w:tmpl w:val="A6F21216"/>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4" w15:restartNumberingAfterBreak="0">
    <w:nsid w:val="0A9E7D74"/>
    <w:multiLevelType w:val="hybridMultilevel"/>
    <w:tmpl w:val="20BC21B8"/>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5" w15:restartNumberingAfterBreak="0">
    <w:nsid w:val="1686557D"/>
    <w:multiLevelType w:val="multilevel"/>
    <w:tmpl w:val="00000000"/>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15:restartNumberingAfterBreak="0">
    <w:nsid w:val="171078E5"/>
    <w:multiLevelType w:val="multilevel"/>
    <w:tmpl w:val="171078E5"/>
    <w:lvl w:ilvl="0">
      <w:start w:val="1"/>
      <w:numFmt w:val="bullet"/>
      <w:lvlText w:val=""/>
      <w:lvlJc w:val="left"/>
      <w:pPr>
        <w:ind w:left="2160" w:hanging="360"/>
      </w:pPr>
      <w:rPr>
        <w:rFonts w:ascii="Wingdings" w:hAnsi="Wingdings" w:hint="default"/>
      </w:rPr>
    </w:lvl>
    <w:lvl w:ilvl="1">
      <w:start w:val="1"/>
      <w:numFmt w:val="bullet"/>
      <w:lvlText w:val="o"/>
      <w:lvlJc w:val="left"/>
      <w:pPr>
        <w:ind w:left="2880" w:hanging="360"/>
      </w:pPr>
      <w:rPr>
        <w:rFonts w:ascii="Courier New" w:hAnsi="Courier New" w:cs="Courier New" w:hint="default"/>
      </w:rPr>
    </w:lvl>
    <w:lvl w:ilvl="2">
      <w:start w:val="1"/>
      <w:numFmt w:val="bullet"/>
      <w:lvlText w:val=""/>
      <w:lvlJc w:val="left"/>
      <w:pPr>
        <w:ind w:left="3600" w:hanging="360"/>
      </w:pPr>
      <w:rPr>
        <w:rFonts w:ascii="Wingdings" w:hAnsi="Wingdings" w:hint="default"/>
      </w:rPr>
    </w:lvl>
    <w:lvl w:ilvl="3">
      <w:start w:val="1"/>
      <w:numFmt w:val="bullet"/>
      <w:lvlText w:val=""/>
      <w:lvlJc w:val="left"/>
      <w:pPr>
        <w:ind w:left="4320" w:hanging="360"/>
      </w:pPr>
      <w:rPr>
        <w:rFonts w:ascii="Symbol" w:hAnsi="Symbol" w:hint="default"/>
      </w:rPr>
    </w:lvl>
    <w:lvl w:ilvl="4">
      <w:start w:val="1"/>
      <w:numFmt w:val="bullet"/>
      <w:lvlText w:val="o"/>
      <w:lvlJc w:val="left"/>
      <w:pPr>
        <w:ind w:left="5040" w:hanging="360"/>
      </w:pPr>
      <w:rPr>
        <w:rFonts w:ascii="Courier New" w:hAnsi="Courier New" w:cs="Courier New" w:hint="default"/>
      </w:rPr>
    </w:lvl>
    <w:lvl w:ilvl="5">
      <w:start w:val="1"/>
      <w:numFmt w:val="bullet"/>
      <w:lvlText w:val=""/>
      <w:lvlJc w:val="left"/>
      <w:pPr>
        <w:ind w:left="5760" w:hanging="360"/>
      </w:pPr>
      <w:rPr>
        <w:rFonts w:ascii="Wingdings" w:hAnsi="Wingdings" w:hint="default"/>
      </w:rPr>
    </w:lvl>
    <w:lvl w:ilvl="6">
      <w:start w:val="1"/>
      <w:numFmt w:val="bullet"/>
      <w:lvlText w:val=""/>
      <w:lvlJc w:val="left"/>
      <w:pPr>
        <w:ind w:left="6480" w:hanging="360"/>
      </w:pPr>
      <w:rPr>
        <w:rFonts w:ascii="Symbol" w:hAnsi="Symbol" w:hint="default"/>
      </w:rPr>
    </w:lvl>
    <w:lvl w:ilvl="7">
      <w:start w:val="1"/>
      <w:numFmt w:val="bullet"/>
      <w:lvlText w:val="o"/>
      <w:lvlJc w:val="left"/>
      <w:pPr>
        <w:ind w:left="7200" w:hanging="360"/>
      </w:pPr>
      <w:rPr>
        <w:rFonts w:ascii="Courier New" w:hAnsi="Courier New" w:cs="Courier New" w:hint="default"/>
      </w:rPr>
    </w:lvl>
    <w:lvl w:ilvl="8">
      <w:start w:val="1"/>
      <w:numFmt w:val="bullet"/>
      <w:lvlText w:val=""/>
      <w:lvlJc w:val="left"/>
      <w:pPr>
        <w:ind w:left="7920" w:hanging="360"/>
      </w:pPr>
      <w:rPr>
        <w:rFonts w:ascii="Wingdings" w:hAnsi="Wingdings" w:hint="default"/>
      </w:rPr>
    </w:lvl>
  </w:abstractNum>
  <w:abstractNum w:abstractNumId="7" w15:restartNumberingAfterBreak="0">
    <w:nsid w:val="1B7A3F3F"/>
    <w:multiLevelType w:val="multilevel"/>
    <w:tmpl w:val="17A0D2C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1EE6107D"/>
    <w:multiLevelType w:val="hybridMultilevel"/>
    <w:tmpl w:val="057A57C6"/>
    <w:lvl w:ilvl="0" w:tplc="C818CA12">
      <w:start w:val="1"/>
      <w:numFmt w:val="upperLetter"/>
      <w:lvlText w:val="%1."/>
      <w:lvlJc w:val="left"/>
      <w:pPr>
        <w:ind w:left="720" w:hanging="360"/>
      </w:pPr>
      <w:rPr>
        <w:rFonts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7C264F3"/>
    <w:multiLevelType w:val="multilevel"/>
    <w:tmpl w:val="27C264F3"/>
    <w:lvl w:ilvl="0">
      <w:start w:val="1"/>
      <w:numFmt w:val="bullet"/>
      <w:lvlText w:val=""/>
      <w:lvlJc w:val="left"/>
      <w:pPr>
        <w:ind w:left="2160" w:hanging="360"/>
      </w:pPr>
      <w:rPr>
        <w:rFonts w:ascii="Wingdings" w:hAnsi="Wingdings" w:hint="default"/>
      </w:rPr>
    </w:lvl>
    <w:lvl w:ilvl="1">
      <w:start w:val="1"/>
      <w:numFmt w:val="bullet"/>
      <w:lvlText w:val="o"/>
      <w:lvlJc w:val="left"/>
      <w:pPr>
        <w:ind w:left="2880" w:hanging="360"/>
      </w:pPr>
      <w:rPr>
        <w:rFonts w:ascii="Courier New" w:hAnsi="Courier New" w:cs="Courier New" w:hint="default"/>
      </w:rPr>
    </w:lvl>
    <w:lvl w:ilvl="2">
      <w:start w:val="1"/>
      <w:numFmt w:val="bullet"/>
      <w:lvlText w:val=""/>
      <w:lvlJc w:val="left"/>
      <w:pPr>
        <w:ind w:left="3600" w:hanging="360"/>
      </w:pPr>
      <w:rPr>
        <w:rFonts w:ascii="Wingdings" w:hAnsi="Wingdings" w:hint="default"/>
      </w:rPr>
    </w:lvl>
    <w:lvl w:ilvl="3">
      <w:start w:val="1"/>
      <w:numFmt w:val="bullet"/>
      <w:lvlText w:val=""/>
      <w:lvlJc w:val="left"/>
      <w:pPr>
        <w:ind w:left="4320" w:hanging="360"/>
      </w:pPr>
      <w:rPr>
        <w:rFonts w:ascii="Symbol" w:hAnsi="Symbol" w:hint="default"/>
      </w:rPr>
    </w:lvl>
    <w:lvl w:ilvl="4">
      <w:start w:val="1"/>
      <w:numFmt w:val="bullet"/>
      <w:lvlText w:val="o"/>
      <w:lvlJc w:val="left"/>
      <w:pPr>
        <w:ind w:left="5040" w:hanging="360"/>
      </w:pPr>
      <w:rPr>
        <w:rFonts w:ascii="Courier New" w:hAnsi="Courier New" w:cs="Courier New" w:hint="default"/>
      </w:rPr>
    </w:lvl>
    <w:lvl w:ilvl="5">
      <w:start w:val="1"/>
      <w:numFmt w:val="bullet"/>
      <w:lvlText w:val=""/>
      <w:lvlJc w:val="left"/>
      <w:pPr>
        <w:ind w:left="5760" w:hanging="360"/>
      </w:pPr>
      <w:rPr>
        <w:rFonts w:ascii="Wingdings" w:hAnsi="Wingdings" w:hint="default"/>
      </w:rPr>
    </w:lvl>
    <w:lvl w:ilvl="6">
      <w:start w:val="1"/>
      <w:numFmt w:val="bullet"/>
      <w:lvlText w:val=""/>
      <w:lvlJc w:val="left"/>
      <w:pPr>
        <w:ind w:left="6480" w:hanging="360"/>
      </w:pPr>
      <w:rPr>
        <w:rFonts w:ascii="Symbol" w:hAnsi="Symbol" w:hint="default"/>
      </w:rPr>
    </w:lvl>
    <w:lvl w:ilvl="7">
      <w:start w:val="1"/>
      <w:numFmt w:val="bullet"/>
      <w:lvlText w:val="o"/>
      <w:lvlJc w:val="left"/>
      <w:pPr>
        <w:ind w:left="7200" w:hanging="360"/>
      </w:pPr>
      <w:rPr>
        <w:rFonts w:ascii="Courier New" w:hAnsi="Courier New" w:cs="Courier New" w:hint="default"/>
      </w:rPr>
    </w:lvl>
    <w:lvl w:ilvl="8">
      <w:start w:val="1"/>
      <w:numFmt w:val="bullet"/>
      <w:lvlText w:val=""/>
      <w:lvlJc w:val="left"/>
      <w:pPr>
        <w:ind w:left="7920" w:hanging="360"/>
      </w:pPr>
      <w:rPr>
        <w:rFonts w:ascii="Wingdings" w:hAnsi="Wingdings" w:hint="default"/>
      </w:rPr>
    </w:lvl>
  </w:abstractNum>
  <w:abstractNum w:abstractNumId="10" w15:restartNumberingAfterBreak="0">
    <w:nsid w:val="2D7775AA"/>
    <w:multiLevelType w:val="hybridMultilevel"/>
    <w:tmpl w:val="4AEE0B9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2423D35"/>
    <w:multiLevelType w:val="hybridMultilevel"/>
    <w:tmpl w:val="B9187BC4"/>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2" w15:restartNumberingAfterBreak="0">
    <w:nsid w:val="3672607C"/>
    <w:multiLevelType w:val="hybridMultilevel"/>
    <w:tmpl w:val="7F08C2B4"/>
    <w:lvl w:ilvl="0" w:tplc="04210011">
      <w:start w:val="1"/>
      <w:numFmt w:val="decimal"/>
      <w:lvlText w:val="%1)"/>
      <w:lvlJc w:val="left"/>
      <w:pPr>
        <w:ind w:left="720" w:hanging="360"/>
      </w:pPr>
    </w:lvl>
    <w:lvl w:ilvl="1" w:tplc="04210019">
      <w:start w:val="1"/>
      <w:numFmt w:val="lowerLetter"/>
      <w:lvlText w:val="%2."/>
      <w:lvlJc w:val="left"/>
      <w:pPr>
        <w:ind w:left="1440" w:hanging="360"/>
      </w:pPr>
    </w:lvl>
    <w:lvl w:ilvl="2" w:tplc="0421001B">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3" w15:restartNumberingAfterBreak="0">
    <w:nsid w:val="3D8F48E5"/>
    <w:multiLevelType w:val="hybridMultilevel"/>
    <w:tmpl w:val="5E986F34"/>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4" w15:restartNumberingAfterBreak="0">
    <w:nsid w:val="41DE1A3F"/>
    <w:multiLevelType w:val="hybridMultilevel"/>
    <w:tmpl w:val="0EDED3F0"/>
    <w:lvl w:ilvl="0" w:tplc="703E6878">
      <w:start w:val="1"/>
      <w:numFmt w:val="bullet"/>
      <w:pStyle w:val="Odrka3stupn"/>
      <w:lvlText w:val=""/>
      <w:lvlJc w:val="left"/>
      <w:pPr>
        <w:tabs>
          <w:tab w:val="num" w:pos="360"/>
        </w:tabs>
        <w:ind w:left="360" w:hanging="360"/>
      </w:pPr>
      <w:rPr>
        <w:rFonts w:ascii="Wingdings" w:hAnsi="Wingdings" w:hint="default"/>
      </w:rPr>
    </w:lvl>
    <w:lvl w:ilvl="1" w:tplc="5E04176E">
      <w:start w:val="1"/>
      <w:numFmt w:val="bullet"/>
      <w:lvlText w:val="o"/>
      <w:lvlJc w:val="left"/>
      <w:pPr>
        <w:tabs>
          <w:tab w:val="num" w:pos="1080"/>
        </w:tabs>
        <w:ind w:left="1080" w:hanging="360"/>
      </w:pPr>
      <w:rPr>
        <w:rFonts w:ascii="Courier New" w:hAnsi="Courier New" w:cs="Courier New" w:hint="default"/>
      </w:rPr>
    </w:lvl>
    <w:lvl w:ilvl="2" w:tplc="311C8C70" w:tentative="1">
      <w:start w:val="1"/>
      <w:numFmt w:val="bullet"/>
      <w:lvlText w:val=""/>
      <w:lvlJc w:val="left"/>
      <w:pPr>
        <w:tabs>
          <w:tab w:val="num" w:pos="1800"/>
        </w:tabs>
        <w:ind w:left="1800" w:hanging="360"/>
      </w:pPr>
      <w:rPr>
        <w:rFonts w:ascii="Wingdings" w:hAnsi="Wingdings" w:hint="default"/>
      </w:rPr>
    </w:lvl>
    <w:lvl w:ilvl="3" w:tplc="16FC10E2" w:tentative="1">
      <w:start w:val="1"/>
      <w:numFmt w:val="bullet"/>
      <w:lvlText w:val=""/>
      <w:lvlJc w:val="left"/>
      <w:pPr>
        <w:tabs>
          <w:tab w:val="num" w:pos="2520"/>
        </w:tabs>
        <w:ind w:left="2520" w:hanging="360"/>
      </w:pPr>
      <w:rPr>
        <w:rFonts w:ascii="Symbol" w:hAnsi="Symbol" w:hint="default"/>
      </w:rPr>
    </w:lvl>
    <w:lvl w:ilvl="4" w:tplc="276CD44A" w:tentative="1">
      <w:start w:val="1"/>
      <w:numFmt w:val="bullet"/>
      <w:lvlText w:val="o"/>
      <w:lvlJc w:val="left"/>
      <w:pPr>
        <w:tabs>
          <w:tab w:val="num" w:pos="3240"/>
        </w:tabs>
        <w:ind w:left="3240" w:hanging="360"/>
      </w:pPr>
      <w:rPr>
        <w:rFonts w:ascii="Courier New" w:hAnsi="Courier New" w:cs="Courier New" w:hint="default"/>
      </w:rPr>
    </w:lvl>
    <w:lvl w:ilvl="5" w:tplc="9D5AF08C" w:tentative="1">
      <w:start w:val="1"/>
      <w:numFmt w:val="bullet"/>
      <w:lvlText w:val=""/>
      <w:lvlJc w:val="left"/>
      <w:pPr>
        <w:tabs>
          <w:tab w:val="num" w:pos="3960"/>
        </w:tabs>
        <w:ind w:left="3960" w:hanging="360"/>
      </w:pPr>
      <w:rPr>
        <w:rFonts w:ascii="Wingdings" w:hAnsi="Wingdings" w:hint="default"/>
      </w:rPr>
    </w:lvl>
    <w:lvl w:ilvl="6" w:tplc="A99A136A" w:tentative="1">
      <w:start w:val="1"/>
      <w:numFmt w:val="bullet"/>
      <w:lvlText w:val=""/>
      <w:lvlJc w:val="left"/>
      <w:pPr>
        <w:tabs>
          <w:tab w:val="num" w:pos="4680"/>
        </w:tabs>
        <w:ind w:left="4680" w:hanging="360"/>
      </w:pPr>
      <w:rPr>
        <w:rFonts w:ascii="Symbol" w:hAnsi="Symbol" w:hint="default"/>
      </w:rPr>
    </w:lvl>
    <w:lvl w:ilvl="7" w:tplc="469C5D4A" w:tentative="1">
      <w:start w:val="1"/>
      <w:numFmt w:val="bullet"/>
      <w:lvlText w:val="o"/>
      <w:lvlJc w:val="left"/>
      <w:pPr>
        <w:tabs>
          <w:tab w:val="num" w:pos="5400"/>
        </w:tabs>
        <w:ind w:left="5400" w:hanging="360"/>
      </w:pPr>
      <w:rPr>
        <w:rFonts w:ascii="Courier New" w:hAnsi="Courier New" w:cs="Courier New" w:hint="default"/>
      </w:rPr>
    </w:lvl>
    <w:lvl w:ilvl="8" w:tplc="34C2844E" w:tentative="1">
      <w:start w:val="1"/>
      <w:numFmt w:val="bullet"/>
      <w:lvlText w:val=""/>
      <w:lvlJc w:val="left"/>
      <w:pPr>
        <w:tabs>
          <w:tab w:val="num" w:pos="6120"/>
        </w:tabs>
        <w:ind w:left="6120" w:hanging="360"/>
      </w:pPr>
      <w:rPr>
        <w:rFonts w:ascii="Wingdings" w:hAnsi="Wingdings" w:hint="default"/>
      </w:rPr>
    </w:lvl>
  </w:abstractNum>
  <w:abstractNum w:abstractNumId="15" w15:restartNumberingAfterBreak="0">
    <w:nsid w:val="433166BD"/>
    <w:multiLevelType w:val="multilevel"/>
    <w:tmpl w:val="433166BD"/>
    <w:lvl w:ilvl="0">
      <w:start w:val="1"/>
      <w:numFmt w:val="bullet"/>
      <w:lvlText w:val=""/>
      <w:lvlJc w:val="left"/>
      <w:pPr>
        <w:ind w:left="2160" w:hanging="360"/>
      </w:pPr>
      <w:rPr>
        <w:rFonts w:ascii="Wingdings" w:hAnsi="Wingdings" w:hint="default"/>
      </w:rPr>
    </w:lvl>
    <w:lvl w:ilvl="1">
      <w:start w:val="1"/>
      <w:numFmt w:val="bullet"/>
      <w:lvlText w:val="o"/>
      <w:lvlJc w:val="left"/>
      <w:pPr>
        <w:ind w:left="2880" w:hanging="360"/>
      </w:pPr>
      <w:rPr>
        <w:rFonts w:ascii="Courier New" w:hAnsi="Courier New" w:cs="Courier New" w:hint="default"/>
      </w:rPr>
    </w:lvl>
    <w:lvl w:ilvl="2">
      <w:start w:val="1"/>
      <w:numFmt w:val="bullet"/>
      <w:lvlText w:val=""/>
      <w:lvlJc w:val="left"/>
      <w:pPr>
        <w:ind w:left="3600" w:hanging="360"/>
      </w:pPr>
      <w:rPr>
        <w:rFonts w:ascii="Wingdings" w:hAnsi="Wingdings" w:hint="default"/>
      </w:rPr>
    </w:lvl>
    <w:lvl w:ilvl="3">
      <w:start w:val="1"/>
      <w:numFmt w:val="bullet"/>
      <w:lvlText w:val=""/>
      <w:lvlJc w:val="left"/>
      <w:pPr>
        <w:ind w:left="4320" w:hanging="360"/>
      </w:pPr>
      <w:rPr>
        <w:rFonts w:ascii="Symbol" w:hAnsi="Symbol" w:hint="default"/>
      </w:rPr>
    </w:lvl>
    <w:lvl w:ilvl="4">
      <w:start w:val="1"/>
      <w:numFmt w:val="bullet"/>
      <w:lvlText w:val="o"/>
      <w:lvlJc w:val="left"/>
      <w:pPr>
        <w:ind w:left="5040" w:hanging="360"/>
      </w:pPr>
      <w:rPr>
        <w:rFonts w:ascii="Courier New" w:hAnsi="Courier New" w:cs="Courier New" w:hint="default"/>
      </w:rPr>
    </w:lvl>
    <w:lvl w:ilvl="5">
      <w:start w:val="1"/>
      <w:numFmt w:val="bullet"/>
      <w:lvlText w:val=""/>
      <w:lvlJc w:val="left"/>
      <w:pPr>
        <w:ind w:left="5760" w:hanging="360"/>
      </w:pPr>
      <w:rPr>
        <w:rFonts w:ascii="Wingdings" w:hAnsi="Wingdings" w:hint="default"/>
      </w:rPr>
    </w:lvl>
    <w:lvl w:ilvl="6">
      <w:start w:val="1"/>
      <w:numFmt w:val="bullet"/>
      <w:lvlText w:val=""/>
      <w:lvlJc w:val="left"/>
      <w:pPr>
        <w:ind w:left="6480" w:hanging="360"/>
      </w:pPr>
      <w:rPr>
        <w:rFonts w:ascii="Symbol" w:hAnsi="Symbol" w:hint="default"/>
      </w:rPr>
    </w:lvl>
    <w:lvl w:ilvl="7">
      <w:start w:val="1"/>
      <w:numFmt w:val="bullet"/>
      <w:lvlText w:val="o"/>
      <w:lvlJc w:val="left"/>
      <w:pPr>
        <w:ind w:left="7200" w:hanging="360"/>
      </w:pPr>
      <w:rPr>
        <w:rFonts w:ascii="Courier New" w:hAnsi="Courier New" w:cs="Courier New" w:hint="default"/>
      </w:rPr>
    </w:lvl>
    <w:lvl w:ilvl="8">
      <w:start w:val="1"/>
      <w:numFmt w:val="bullet"/>
      <w:lvlText w:val=""/>
      <w:lvlJc w:val="left"/>
      <w:pPr>
        <w:ind w:left="7920" w:hanging="360"/>
      </w:pPr>
      <w:rPr>
        <w:rFonts w:ascii="Wingdings" w:hAnsi="Wingdings" w:hint="default"/>
      </w:rPr>
    </w:lvl>
  </w:abstractNum>
  <w:abstractNum w:abstractNumId="16" w15:restartNumberingAfterBreak="0">
    <w:nsid w:val="46224D8C"/>
    <w:multiLevelType w:val="multilevel"/>
    <w:tmpl w:val="46224D8C"/>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4BAD7D6D"/>
    <w:multiLevelType w:val="hybridMultilevel"/>
    <w:tmpl w:val="33940288"/>
    <w:lvl w:ilvl="0" w:tplc="0409001B">
      <w:start w:val="1"/>
      <w:numFmt w:val="lowerRoman"/>
      <w:lvlText w:val="%1."/>
      <w:lvlJc w:val="righ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8" w15:restartNumberingAfterBreak="0">
    <w:nsid w:val="58DA6212"/>
    <w:multiLevelType w:val="hybridMultilevel"/>
    <w:tmpl w:val="D396ACA4"/>
    <w:lvl w:ilvl="0" w:tplc="2C80B07E">
      <w:start w:val="1"/>
      <w:numFmt w:val="decimal"/>
      <w:lvlText w:val="%1)"/>
      <w:lvlJc w:val="left"/>
      <w:pPr>
        <w:ind w:left="1080" w:hanging="720"/>
      </w:pPr>
      <w:rPr>
        <w:rFonts w:hint="default"/>
      </w:rPr>
    </w:lvl>
    <w:lvl w:ilvl="1" w:tplc="A4DABB3E">
      <w:start w:val="1"/>
      <w:numFmt w:val="lowerLetter"/>
      <w:lvlText w:val="%2."/>
      <w:lvlJc w:val="left"/>
      <w:pPr>
        <w:ind w:left="1800" w:hanging="720"/>
      </w:pPr>
      <w:rPr>
        <w:rFonts w:hint="default"/>
      </w:r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9" w15:restartNumberingAfterBreak="0">
    <w:nsid w:val="5EBC2351"/>
    <w:multiLevelType w:val="hybridMultilevel"/>
    <w:tmpl w:val="1B887D0A"/>
    <w:lvl w:ilvl="0" w:tplc="7B74758E">
      <w:start w:val="1"/>
      <w:numFmt w:val="decimal"/>
      <w:lvlText w:val="%1."/>
      <w:lvlJc w:val="left"/>
      <w:pPr>
        <w:ind w:left="36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0" w15:restartNumberingAfterBreak="0">
    <w:nsid w:val="622B5F21"/>
    <w:multiLevelType w:val="multilevel"/>
    <w:tmpl w:val="709A1FB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67614019"/>
    <w:multiLevelType w:val="hybridMultilevel"/>
    <w:tmpl w:val="6C2E794C"/>
    <w:lvl w:ilvl="0" w:tplc="7B74758E">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22" w15:restartNumberingAfterBreak="0">
    <w:nsid w:val="679A5CD8"/>
    <w:multiLevelType w:val="multilevel"/>
    <w:tmpl w:val="679A5CD8"/>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74F644BC"/>
    <w:multiLevelType w:val="hybridMultilevel"/>
    <w:tmpl w:val="54DC0822"/>
    <w:lvl w:ilvl="0" w:tplc="0409001B">
      <w:start w:val="1"/>
      <w:numFmt w:val="lowerRoman"/>
      <w:lvlText w:val="%1."/>
      <w:lvlJc w:val="righ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4" w15:restartNumberingAfterBreak="0">
    <w:nsid w:val="75480D74"/>
    <w:multiLevelType w:val="hybridMultilevel"/>
    <w:tmpl w:val="9A1E079C"/>
    <w:lvl w:ilvl="0" w:tplc="0409001B">
      <w:start w:val="1"/>
      <w:numFmt w:val="lowerRoman"/>
      <w:lvlText w:val="%1."/>
      <w:lvlJc w:val="righ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16cid:durableId="229002415">
    <w:abstractNumId w:val="20"/>
  </w:num>
  <w:num w:numId="2" w16cid:durableId="1323119336">
    <w:abstractNumId w:val="8"/>
  </w:num>
  <w:num w:numId="3" w16cid:durableId="886257421">
    <w:abstractNumId w:val="2"/>
  </w:num>
  <w:num w:numId="4" w16cid:durableId="1912353468">
    <w:abstractNumId w:val="10"/>
  </w:num>
  <w:num w:numId="5" w16cid:durableId="489180601">
    <w:abstractNumId w:val="12"/>
  </w:num>
  <w:num w:numId="6" w16cid:durableId="575478803">
    <w:abstractNumId w:val="18"/>
  </w:num>
  <w:num w:numId="7" w16cid:durableId="617758559">
    <w:abstractNumId w:val="22"/>
  </w:num>
  <w:num w:numId="8" w16cid:durableId="1610354655">
    <w:abstractNumId w:val="6"/>
  </w:num>
  <w:num w:numId="9" w16cid:durableId="676922986">
    <w:abstractNumId w:val="15"/>
  </w:num>
  <w:num w:numId="10" w16cid:durableId="426776283">
    <w:abstractNumId w:val="9"/>
  </w:num>
  <w:num w:numId="11" w16cid:durableId="430779715">
    <w:abstractNumId w:val="16"/>
  </w:num>
  <w:num w:numId="12" w16cid:durableId="708994960">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850267146">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067849463">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731851858">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543490821">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208735205">
    <w:abstractNumId w:val="0"/>
  </w:num>
  <w:num w:numId="18" w16cid:durableId="940720105">
    <w:abstractNumId w:val="5"/>
  </w:num>
  <w:num w:numId="19" w16cid:durableId="946548599">
    <w:abstractNumId w:val="14"/>
  </w:num>
  <w:num w:numId="20" w16cid:durableId="307248400">
    <w:abstractNumId w:val="1"/>
  </w:num>
  <w:num w:numId="21" w16cid:durableId="1806852985">
    <w:abstractNumId w:val="7"/>
  </w:num>
  <w:num w:numId="22" w16cid:durableId="1894539578">
    <w:abstractNumId w:val="13"/>
  </w:num>
  <w:num w:numId="23" w16cid:durableId="1196116705">
    <w:abstractNumId w:val="11"/>
  </w:num>
  <w:num w:numId="24" w16cid:durableId="863636111">
    <w:abstractNumId w:val="3"/>
  </w:num>
  <w:num w:numId="25" w16cid:durableId="15881452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MyM7IwNzQwMzQ3MzRT0lEKTi0uzszPAykwqQUAj2/L2SwAAAA="/>
  </w:docVars>
  <w:rsids>
    <w:rsidRoot w:val="00803108"/>
    <w:rsid w:val="0000119F"/>
    <w:rsid w:val="00005739"/>
    <w:rsid w:val="00006484"/>
    <w:rsid w:val="00021B83"/>
    <w:rsid w:val="00023DC1"/>
    <w:rsid w:val="00027B5D"/>
    <w:rsid w:val="000455B1"/>
    <w:rsid w:val="00046C4F"/>
    <w:rsid w:val="00050B14"/>
    <w:rsid w:val="0006115B"/>
    <w:rsid w:val="00065A0C"/>
    <w:rsid w:val="00066E94"/>
    <w:rsid w:val="00072931"/>
    <w:rsid w:val="00072A97"/>
    <w:rsid w:val="00074219"/>
    <w:rsid w:val="00082D0A"/>
    <w:rsid w:val="00083114"/>
    <w:rsid w:val="000858BD"/>
    <w:rsid w:val="00095C9D"/>
    <w:rsid w:val="000A19AE"/>
    <w:rsid w:val="000A353B"/>
    <w:rsid w:val="000A7E57"/>
    <w:rsid w:val="000C02DA"/>
    <w:rsid w:val="000C1A33"/>
    <w:rsid w:val="000C681A"/>
    <w:rsid w:val="000D3172"/>
    <w:rsid w:val="000D6CA4"/>
    <w:rsid w:val="000F64AC"/>
    <w:rsid w:val="00100495"/>
    <w:rsid w:val="001008C3"/>
    <w:rsid w:val="00110DF7"/>
    <w:rsid w:val="00111AC5"/>
    <w:rsid w:val="00112FBF"/>
    <w:rsid w:val="001226C3"/>
    <w:rsid w:val="00130461"/>
    <w:rsid w:val="00132969"/>
    <w:rsid w:val="001351D3"/>
    <w:rsid w:val="00141681"/>
    <w:rsid w:val="00142F0C"/>
    <w:rsid w:val="00146F64"/>
    <w:rsid w:val="00164B3E"/>
    <w:rsid w:val="0016551B"/>
    <w:rsid w:val="00167AB9"/>
    <w:rsid w:val="0017598B"/>
    <w:rsid w:val="00180452"/>
    <w:rsid w:val="00181A4A"/>
    <w:rsid w:val="00181CB8"/>
    <w:rsid w:val="0018264D"/>
    <w:rsid w:val="001834AC"/>
    <w:rsid w:val="00194CF9"/>
    <w:rsid w:val="0019695E"/>
    <w:rsid w:val="001A4771"/>
    <w:rsid w:val="001B2EE9"/>
    <w:rsid w:val="001B6C6F"/>
    <w:rsid w:val="001C67EC"/>
    <w:rsid w:val="001C7F08"/>
    <w:rsid w:val="001D1D11"/>
    <w:rsid w:val="001F46D7"/>
    <w:rsid w:val="002011AB"/>
    <w:rsid w:val="00201783"/>
    <w:rsid w:val="0020288F"/>
    <w:rsid w:val="00204D0C"/>
    <w:rsid w:val="00206634"/>
    <w:rsid w:val="002070BF"/>
    <w:rsid w:val="0021095E"/>
    <w:rsid w:val="00214B2E"/>
    <w:rsid w:val="00216B40"/>
    <w:rsid w:val="00217A04"/>
    <w:rsid w:val="002307DC"/>
    <w:rsid w:val="00233751"/>
    <w:rsid w:val="0024211B"/>
    <w:rsid w:val="00242D9A"/>
    <w:rsid w:val="002541EC"/>
    <w:rsid w:val="002568D8"/>
    <w:rsid w:val="00261208"/>
    <w:rsid w:val="00270EAA"/>
    <w:rsid w:val="00276655"/>
    <w:rsid w:val="00285700"/>
    <w:rsid w:val="00290971"/>
    <w:rsid w:val="00293308"/>
    <w:rsid w:val="002B6E55"/>
    <w:rsid w:val="002D3FB3"/>
    <w:rsid w:val="002E00B9"/>
    <w:rsid w:val="002E0CA7"/>
    <w:rsid w:val="002E1DB1"/>
    <w:rsid w:val="002E348C"/>
    <w:rsid w:val="002F0183"/>
    <w:rsid w:val="002F30C0"/>
    <w:rsid w:val="002F4CB1"/>
    <w:rsid w:val="002F5476"/>
    <w:rsid w:val="00302B66"/>
    <w:rsid w:val="00305131"/>
    <w:rsid w:val="00307D90"/>
    <w:rsid w:val="00310025"/>
    <w:rsid w:val="00311285"/>
    <w:rsid w:val="00312B87"/>
    <w:rsid w:val="00323590"/>
    <w:rsid w:val="00323BA4"/>
    <w:rsid w:val="0032543D"/>
    <w:rsid w:val="00332519"/>
    <w:rsid w:val="003348CE"/>
    <w:rsid w:val="00341978"/>
    <w:rsid w:val="00351690"/>
    <w:rsid w:val="00353DE1"/>
    <w:rsid w:val="00354041"/>
    <w:rsid w:val="0035412D"/>
    <w:rsid w:val="00361DBA"/>
    <w:rsid w:val="00370B64"/>
    <w:rsid w:val="00375478"/>
    <w:rsid w:val="00375DB4"/>
    <w:rsid w:val="0038198C"/>
    <w:rsid w:val="003910FE"/>
    <w:rsid w:val="00392E79"/>
    <w:rsid w:val="003A67FF"/>
    <w:rsid w:val="003B047B"/>
    <w:rsid w:val="003B0A0B"/>
    <w:rsid w:val="003C31C4"/>
    <w:rsid w:val="003C4E47"/>
    <w:rsid w:val="003C7EFA"/>
    <w:rsid w:val="003D10E7"/>
    <w:rsid w:val="003D19C8"/>
    <w:rsid w:val="003D516E"/>
    <w:rsid w:val="003F31F8"/>
    <w:rsid w:val="004037F0"/>
    <w:rsid w:val="004038CB"/>
    <w:rsid w:val="0040635A"/>
    <w:rsid w:val="00410EC1"/>
    <w:rsid w:val="00412A36"/>
    <w:rsid w:val="0041533E"/>
    <w:rsid w:val="004154FD"/>
    <w:rsid w:val="00432441"/>
    <w:rsid w:val="00440351"/>
    <w:rsid w:val="0044639B"/>
    <w:rsid w:val="00447758"/>
    <w:rsid w:val="00447F8F"/>
    <w:rsid w:val="00455185"/>
    <w:rsid w:val="004624EC"/>
    <w:rsid w:val="0046619C"/>
    <w:rsid w:val="004740F6"/>
    <w:rsid w:val="004749EB"/>
    <w:rsid w:val="0047707F"/>
    <w:rsid w:val="00480B0B"/>
    <w:rsid w:val="004811FC"/>
    <w:rsid w:val="004A0300"/>
    <w:rsid w:val="004A14E1"/>
    <w:rsid w:val="004A19B4"/>
    <w:rsid w:val="004A4721"/>
    <w:rsid w:val="004B4569"/>
    <w:rsid w:val="004C7A72"/>
    <w:rsid w:val="004E045E"/>
    <w:rsid w:val="004E4536"/>
    <w:rsid w:val="004E744C"/>
    <w:rsid w:val="004F5FA3"/>
    <w:rsid w:val="005035E2"/>
    <w:rsid w:val="005048AA"/>
    <w:rsid w:val="00506B48"/>
    <w:rsid w:val="00513D87"/>
    <w:rsid w:val="0051543A"/>
    <w:rsid w:val="00517BA0"/>
    <w:rsid w:val="00522931"/>
    <w:rsid w:val="0053135E"/>
    <w:rsid w:val="0054086A"/>
    <w:rsid w:val="00545A02"/>
    <w:rsid w:val="00547CC4"/>
    <w:rsid w:val="005556F6"/>
    <w:rsid w:val="00560047"/>
    <w:rsid w:val="00565680"/>
    <w:rsid w:val="005661D7"/>
    <w:rsid w:val="00566E1A"/>
    <w:rsid w:val="00584175"/>
    <w:rsid w:val="005B0C7E"/>
    <w:rsid w:val="005B1528"/>
    <w:rsid w:val="005B43DC"/>
    <w:rsid w:val="005B5204"/>
    <w:rsid w:val="005B59CE"/>
    <w:rsid w:val="005C1286"/>
    <w:rsid w:val="005D544E"/>
    <w:rsid w:val="005D5A08"/>
    <w:rsid w:val="005E6463"/>
    <w:rsid w:val="005F3C3D"/>
    <w:rsid w:val="005F7548"/>
    <w:rsid w:val="00603C25"/>
    <w:rsid w:val="00604A8F"/>
    <w:rsid w:val="00605932"/>
    <w:rsid w:val="00616197"/>
    <w:rsid w:val="0061624C"/>
    <w:rsid w:val="00623316"/>
    <w:rsid w:val="00630F74"/>
    <w:rsid w:val="00632B7A"/>
    <w:rsid w:val="00637714"/>
    <w:rsid w:val="00643B19"/>
    <w:rsid w:val="00644CFC"/>
    <w:rsid w:val="00645CB8"/>
    <w:rsid w:val="006464E5"/>
    <w:rsid w:val="006467A5"/>
    <w:rsid w:val="00650219"/>
    <w:rsid w:val="006507C9"/>
    <w:rsid w:val="00650F81"/>
    <w:rsid w:val="00652DE0"/>
    <w:rsid w:val="006579AF"/>
    <w:rsid w:val="00660436"/>
    <w:rsid w:val="00665497"/>
    <w:rsid w:val="006663C1"/>
    <w:rsid w:val="0067126D"/>
    <w:rsid w:val="00671FC4"/>
    <w:rsid w:val="00676F78"/>
    <w:rsid w:val="0068436F"/>
    <w:rsid w:val="00687139"/>
    <w:rsid w:val="00692B40"/>
    <w:rsid w:val="006A401A"/>
    <w:rsid w:val="006B1074"/>
    <w:rsid w:val="006B6854"/>
    <w:rsid w:val="006B6DA2"/>
    <w:rsid w:val="006C0014"/>
    <w:rsid w:val="006D4D3A"/>
    <w:rsid w:val="006D6695"/>
    <w:rsid w:val="006E081B"/>
    <w:rsid w:val="006E09CC"/>
    <w:rsid w:val="006E3AF7"/>
    <w:rsid w:val="006F30F5"/>
    <w:rsid w:val="00703B1D"/>
    <w:rsid w:val="007132EA"/>
    <w:rsid w:val="0072021C"/>
    <w:rsid w:val="007249C3"/>
    <w:rsid w:val="007253FD"/>
    <w:rsid w:val="00731DFA"/>
    <w:rsid w:val="00732EF9"/>
    <w:rsid w:val="0074353C"/>
    <w:rsid w:val="00743FE7"/>
    <w:rsid w:val="007546C9"/>
    <w:rsid w:val="00756E06"/>
    <w:rsid w:val="0075717E"/>
    <w:rsid w:val="00757BF0"/>
    <w:rsid w:val="007613F6"/>
    <w:rsid w:val="0076264D"/>
    <w:rsid w:val="00770D46"/>
    <w:rsid w:val="0077397C"/>
    <w:rsid w:val="00774854"/>
    <w:rsid w:val="00775844"/>
    <w:rsid w:val="0077672E"/>
    <w:rsid w:val="00776B26"/>
    <w:rsid w:val="007772C5"/>
    <w:rsid w:val="0077752A"/>
    <w:rsid w:val="00780A53"/>
    <w:rsid w:val="00780FD2"/>
    <w:rsid w:val="00786A30"/>
    <w:rsid w:val="00790DFE"/>
    <w:rsid w:val="00792077"/>
    <w:rsid w:val="00793E9A"/>
    <w:rsid w:val="007A3360"/>
    <w:rsid w:val="007A6CD7"/>
    <w:rsid w:val="007B6D00"/>
    <w:rsid w:val="007C3AE0"/>
    <w:rsid w:val="007C50E5"/>
    <w:rsid w:val="007D0942"/>
    <w:rsid w:val="007D339D"/>
    <w:rsid w:val="007D4B1C"/>
    <w:rsid w:val="007D5BA5"/>
    <w:rsid w:val="007D6227"/>
    <w:rsid w:val="007D62DA"/>
    <w:rsid w:val="007E72C6"/>
    <w:rsid w:val="007E7B00"/>
    <w:rsid w:val="007F233E"/>
    <w:rsid w:val="007F337E"/>
    <w:rsid w:val="008025C1"/>
    <w:rsid w:val="00803108"/>
    <w:rsid w:val="008063F4"/>
    <w:rsid w:val="00812FCA"/>
    <w:rsid w:val="00817A2C"/>
    <w:rsid w:val="00822218"/>
    <w:rsid w:val="00825085"/>
    <w:rsid w:val="00830E11"/>
    <w:rsid w:val="008328B2"/>
    <w:rsid w:val="008443B9"/>
    <w:rsid w:val="00845B59"/>
    <w:rsid w:val="00847CA4"/>
    <w:rsid w:val="008552AB"/>
    <w:rsid w:val="00874A27"/>
    <w:rsid w:val="00877750"/>
    <w:rsid w:val="0088055E"/>
    <w:rsid w:val="008811C8"/>
    <w:rsid w:val="008813C9"/>
    <w:rsid w:val="00885BC6"/>
    <w:rsid w:val="0088641D"/>
    <w:rsid w:val="00887E2D"/>
    <w:rsid w:val="008A0C94"/>
    <w:rsid w:val="008A3871"/>
    <w:rsid w:val="008B491F"/>
    <w:rsid w:val="008B7168"/>
    <w:rsid w:val="008C187D"/>
    <w:rsid w:val="008C1BEB"/>
    <w:rsid w:val="008C1FF9"/>
    <w:rsid w:val="008C5E39"/>
    <w:rsid w:val="008D3CEF"/>
    <w:rsid w:val="008D6167"/>
    <w:rsid w:val="008E32A1"/>
    <w:rsid w:val="008F43F4"/>
    <w:rsid w:val="009004B9"/>
    <w:rsid w:val="009016AE"/>
    <w:rsid w:val="00911B88"/>
    <w:rsid w:val="00913A39"/>
    <w:rsid w:val="00914E0E"/>
    <w:rsid w:val="00930D12"/>
    <w:rsid w:val="009335BC"/>
    <w:rsid w:val="00940A78"/>
    <w:rsid w:val="00947114"/>
    <w:rsid w:val="0095069C"/>
    <w:rsid w:val="009569B8"/>
    <w:rsid w:val="00972C59"/>
    <w:rsid w:val="009751F5"/>
    <w:rsid w:val="0098111F"/>
    <w:rsid w:val="009870D4"/>
    <w:rsid w:val="00987715"/>
    <w:rsid w:val="00994137"/>
    <w:rsid w:val="00995914"/>
    <w:rsid w:val="00997FF4"/>
    <w:rsid w:val="009A0E94"/>
    <w:rsid w:val="009C195A"/>
    <w:rsid w:val="009C7FEA"/>
    <w:rsid w:val="009E1B2C"/>
    <w:rsid w:val="009E438D"/>
    <w:rsid w:val="009E57AC"/>
    <w:rsid w:val="009F0667"/>
    <w:rsid w:val="009F55A5"/>
    <w:rsid w:val="00A035A4"/>
    <w:rsid w:val="00A138B9"/>
    <w:rsid w:val="00A27A98"/>
    <w:rsid w:val="00A3016E"/>
    <w:rsid w:val="00A31D05"/>
    <w:rsid w:val="00A32097"/>
    <w:rsid w:val="00A32C6B"/>
    <w:rsid w:val="00A36CB6"/>
    <w:rsid w:val="00A37A64"/>
    <w:rsid w:val="00A45BFE"/>
    <w:rsid w:val="00A50BC0"/>
    <w:rsid w:val="00A540FA"/>
    <w:rsid w:val="00A56393"/>
    <w:rsid w:val="00A610CB"/>
    <w:rsid w:val="00A61647"/>
    <w:rsid w:val="00A64385"/>
    <w:rsid w:val="00A65CA4"/>
    <w:rsid w:val="00A668DE"/>
    <w:rsid w:val="00A72AF2"/>
    <w:rsid w:val="00A73DFF"/>
    <w:rsid w:val="00A75067"/>
    <w:rsid w:val="00A80EF8"/>
    <w:rsid w:val="00A81BB2"/>
    <w:rsid w:val="00A92C0A"/>
    <w:rsid w:val="00A93A49"/>
    <w:rsid w:val="00AA62F1"/>
    <w:rsid w:val="00AB06E7"/>
    <w:rsid w:val="00AB3773"/>
    <w:rsid w:val="00AC0A2A"/>
    <w:rsid w:val="00AC38AF"/>
    <w:rsid w:val="00AE0FAB"/>
    <w:rsid w:val="00AE1829"/>
    <w:rsid w:val="00AE5E91"/>
    <w:rsid w:val="00AF4864"/>
    <w:rsid w:val="00AF73B2"/>
    <w:rsid w:val="00AF7CBD"/>
    <w:rsid w:val="00B02701"/>
    <w:rsid w:val="00B136D0"/>
    <w:rsid w:val="00B15C38"/>
    <w:rsid w:val="00B15FCD"/>
    <w:rsid w:val="00B33700"/>
    <w:rsid w:val="00B33840"/>
    <w:rsid w:val="00B34D01"/>
    <w:rsid w:val="00B408AE"/>
    <w:rsid w:val="00B4121E"/>
    <w:rsid w:val="00B5697D"/>
    <w:rsid w:val="00B57FB9"/>
    <w:rsid w:val="00B61141"/>
    <w:rsid w:val="00B61F95"/>
    <w:rsid w:val="00B67FBD"/>
    <w:rsid w:val="00B74622"/>
    <w:rsid w:val="00B75623"/>
    <w:rsid w:val="00B8249E"/>
    <w:rsid w:val="00B95229"/>
    <w:rsid w:val="00BA00A7"/>
    <w:rsid w:val="00BA00B3"/>
    <w:rsid w:val="00BA0906"/>
    <w:rsid w:val="00BA1CF8"/>
    <w:rsid w:val="00BB114D"/>
    <w:rsid w:val="00BB2BC3"/>
    <w:rsid w:val="00BC09C9"/>
    <w:rsid w:val="00BC0A46"/>
    <w:rsid w:val="00BC365C"/>
    <w:rsid w:val="00BC514F"/>
    <w:rsid w:val="00BD5BE4"/>
    <w:rsid w:val="00BE0961"/>
    <w:rsid w:val="00BE2921"/>
    <w:rsid w:val="00BE5DC5"/>
    <w:rsid w:val="00BF13F9"/>
    <w:rsid w:val="00BF3C23"/>
    <w:rsid w:val="00BF7595"/>
    <w:rsid w:val="00BF7A21"/>
    <w:rsid w:val="00C00624"/>
    <w:rsid w:val="00C01393"/>
    <w:rsid w:val="00C1404E"/>
    <w:rsid w:val="00C154D9"/>
    <w:rsid w:val="00C22E2E"/>
    <w:rsid w:val="00C23F9E"/>
    <w:rsid w:val="00C26243"/>
    <w:rsid w:val="00C307BD"/>
    <w:rsid w:val="00C30BA0"/>
    <w:rsid w:val="00C37830"/>
    <w:rsid w:val="00C464C4"/>
    <w:rsid w:val="00C47AF5"/>
    <w:rsid w:val="00C5173F"/>
    <w:rsid w:val="00C53DC6"/>
    <w:rsid w:val="00C55B4C"/>
    <w:rsid w:val="00C64CD9"/>
    <w:rsid w:val="00C70868"/>
    <w:rsid w:val="00C719F2"/>
    <w:rsid w:val="00C75741"/>
    <w:rsid w:val="00C844B1"/>
    <w:rsid w:val="00C97DE9"/>
    <w:rsid w:val="00CA18A5"/>
    <w:rsid w:val="00CA18A8"/>
    <w:rsid w:val="00CA34FE"/>
    <w:rsid w:val="00CA4E11"/>
    <w:rsid w:val="00CC13AD"/>
    <w:rsid w:val="00CC6297"/>
    <w:rsid w:val="00CD095B"/>
    <w:rsid w:val="00CD0C9D"/>
    <w:rsid w:val="00CE691B"/>
    <w:rsid w:val="00CF06EF"/>
    <w:rsid w:val="00CF2EF4"/>
    <w:rsid w:val="00CF446B"/>
    <w:rsid w:val="00CF66EF"/>
    <w:rsid w:val="00D20FD0"/>
    <w:rsid w:val="00D215BB"/>
    <w:rsid w:val="00D21E94"/>
    <w:rsid w:val="00D24B3E"/>
    <w:rsid w:val="00D2516E"/>
    <w:rsid w:val="00D26C4E"/>
    <w:rsid w:val="00D311EA"/>
    <w:rsid w:val="00D355E7"/>
    <w:rsid w:val="00D40928"/>
    <w:rsid w:val="00D410EE"/>
    <w:rsid w:val="00D4363B"/>
    <w:rsid w:val="00D45333"/>
    <w:rsid w:val="00D54897"/>
    <w:rsid w:val="00D576A7"/>
    <w:rsid w:val="00D57A7B"/>
    <w:rsid w:val="00D66971"/>
    <w:rsid w:val="00D765B2"/>
    <w:rsid w:val="00D82711"/>
    <w:rsid w:val="00D85AAC"/>
    <w:rsid w:val="00D86962"/>
    <w:rsid w:val="00D86C95"/>
    <w:rsid w:val="00D90609"/>
    <w:rsid w:val="00DB2C72"/>
    <w:rsid w:val="00DB59E8"/>
    <w:rsid w:val="00DC0665"/>
    <w:rsid w:val="00DC6FA8"/>
    <w:rsid w:val="00DD074D"/>
    <w:rsid w:val="00DD3182"/>
    <w:rsid w:val="00DD68E6"/>
    <w:rsid w:val="00DE23F9"/>
    <w:rsid w:val="00DE660E"/>
    <w:rsid w:val="00DF4660"/>
    <w:rsid w:val="00DF77A1"/>
    <w:rsid w:val="00E02ECA"/>
    <w:rsid w:val="00E07E73"/>
    <w:rsid w:val="00E11387"/>
    <w:rsid w:val="00E148D9"/>
    <w:rsid w:val="00E36439"/>
    <w:rsid w:val="00E365DF"/>
    <w:rsid w:val="00E446E1"/>
    <w:rsid w:val="00E44C7E"/>
    <w:rsid w:val="00E46C7C"/>
    <w:rsid w:val="00E514C3"/>
    <w:rsid w:val="00E515E4"/>
    <w:rsid w:val="00E51804"/>
    <w:rsid w:val="00E54818"/>
    <w:rsid w:val="00E57399"/>
    <w:rsid w:val="00E64495"/>
    <w:rsid w:val="00E66DD8"/>
    <w:rsid w:val="00E67D7F"/>
    <w:rsid w:val="00E71F0B"/>
    <w:rsid w:val="00E75C34"/>
    <w:rsid w:val="00E75D91"/>
    <w:rsid w:val="00E91A7F"/>
    <w:rsid w:val="00EA43C2"/>
    <w:rsid w:val="00EB190D"/>
    <w:rsid w:val="00EC2993"/>
    <w:rsid w:val="00ED061D"/>
    <w:rsid w:val="00ED5266"/>
    <w:rsid w:val="00ED544F"/>
    <w:rsid w:val="00ED5618"/>
    <w:rsid w:val="00EE2655"/>
    <w:rsid w:val="00EE3C4A"/>
    <w:rsid w:val="00EE72FA"/>
    <w:rsid w:val="00EF2055"/>
    <w:rsid w:val="00F064FC"/>
    <w:rsid w:val="00F17DC9"/>
    <w:rsid w:val="00F27F02"/>
    <w:rsid w:val="00F34827"/>
    <w:rsid w:val="00F362E3"/>
    <w:rsid w:val="00F41228"/>
    <w:rsid w:val="00F41D3F"/>
    <w:rsid w:val="00F4292C"/>
    <w:rsid w:val="00F43E74"/>
    <w:rsid w:val="00F53EC4"/>
    <w:rsid w:val="00F64B3C"/>
    <w:rsid w:val="00F74953"/>
    <w:rsid w:val="00F76F10"/>
    <w:rsid w:val="00F8234C"/>
    <w:rsid w:val="00F85F08"/>
    <w:rsid w:val="00FA0ADA"/>
    <w:rsid w:val="00FA3418"/>
    <w:rsid w:val="00FA442C"/>
    <w:rsid w:val="00FA5064"/>
    <w:rsid w:val="00FA5290"/>
    <w:rsid w:val="00FA62E3"/>
    <w:rsid w:val="00FB4DAE"/>
    <w:rsid w:val="00FC2066"/>
    <w:rsid w:val="00FD1C2E"/>
    <w:rsid w:val="00FD312B"/>
    <w:rsid w:val="00FE3D3E"/>
    <w:rsid w:val="00FE4E1E"/>
    <w:rsid w:val="00FF1C2F"/>
    <w:rsid w:val="00FF612E"/>
  </w:rsids>
  <m:mathPr>
    <m:mathFont m:val="Cambria Math"/>
    <m:brkBin m:val="before"/>
    <m:brkBinSub m:val="--"/>
    <m:smallFrac/>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CC6807"/>
  <w15:docId w15:val="{8FC4DFBF-7F01-4F03-9082-11B07CC050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n-ID" w:eastAsia="en-US" w:bidi="ne-NP"/>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1"/>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73C6E"/>
  </w:style>
  <w:style w:type="paragraph" w:styleId="Heading1">
    <w:name w:val="heading 1"/>
    <w:basedOn w:val="Normal"/>
    <w:next w:val="Normal"/>
    <w:link w:val="Heading1Char"/>
    <w:uiPriority w:val="9"/>
    <w:qFormat/>
    <w:rsid w:val="00473C6E"/>
    <w:pPr>
      <w:keepNext/>
      <w:keepLines/>
      <w:spacing w:before="480" w:after="0"/>
      <w:outlineLvl w:val="0"/>
    </w:pPr>
    <w:rPr>
      <w:rFonts w:asciiTheme="majorHAnsi" w:eastAsiaTheme="majorEastAsia" w:hAnsiTheme="majorHAnsi" w:cstheme="majorBidi"/>
      <w:b/>
      <w:bCs/>
      <w:color w:val="2F5496" w:themeColor="accent1" w:themeShade="BF"/>
      <w:sz w:val="28"/>
      <w:szCs w:val="28"/>
    </w:rPr>
  </w:style>
  <w:style w:type="paragraph" w:styleId="Heading2">
    <w:name w:val="heading 2"/>
    <w:basedOn w:val="Normal"/>
    <w:next w:val="Normal"/>
    <w:link w:val="Heading2Char"/>
    <w:uiPriority w:val="9"/>
    <w:unhideWhenUsed/>
    <w:qFormat/>
    <w:rsid w:val="00473C6E"/>
    <w:pPr>
      <w:keepNext/>
      <w:keepLines/>
      <w:spacing w:before="200" w:after="0"/>
      <w:outlineLvl w:val="1"/>
    </w:pPr>
    <w:rPr>
      <w:rFonts w:asciiTheme="majorHAnsi" w:eastAsiaTheme="majorEastAsia" w:hAnsiTheme="majorHAnsi" w:cstheme="majorBidi"/>
      <w:b/>
      <w:bCs/>
      <w:color w:val="4472C4" w:themeColor="accent1"/>
      <w:sz w:val="26"/>
      <w:szCs w:val="26"/>
    </w:rPr>
  </w:style>
  <w:style w:type="paragraph" w:styleId="Heading3">
    <w:name w:val="heading 3"/>
    <w:basedOn w:val="Normal"/>
    <w:next w:val="Normal"/>
    <w:link w:val="Heading3Char"/>
    <w:unhideWhenUsed/>
    <w:qFormat/>
    <w:rsid w:val="00473C6E"/>
    <w:pPr>
      <w:keepNext/>
      <w:keepLines/>
      <w:spacing w:before="200" w:after="0"/>
      <w:outlineLvl w:val="2"/>
    </w:pPr>
    <w:rPr>
      <w:rFonts w:asciiTheme="majorHAnsi" w:eastAsiaTheme="majorEastAsia" w:hAnsiTheme="majorHAnsi" w:cstheme="majorBidi"/>
      <w:b/>
      <w:bCs/>
      <w:color w:val="4472C4" w:themeColor="accent1"/>
    </w:rPr>
  </w:style>
  <w:style w:type="paragraph" w:styleId="Heading4">
    <w:name w:val="heading 4"/>
    <w:basedOn w:val="Normal"/>
    <w:next w:val="Normal"/>
    <w:link w:val="Heading4Char"/>
    <w:uiPriority w:val="9"/>
    <w:semiHidden/>
    <w:unhideWhenUsed/>
    <w:qFormat/>
    <w:rsid w:val="00473C6E"/>
    <w:pPr>
      <w:keepNext/>
      <w:keepLines/>
      <w:spacing w:before="200" w:after="0"/>
      <w:outlineLvl w:val="3"/>
    </w:pPr>
    <w:rPr>
      <w:rFonts w:asciiTheme="majorHAnsi" w:eastAsiaTheme="majorEastAsia" w:hAnsiTheme="majorHAnsi" w:cstheme="majorBidi"/>
      <w:b/>
      <w:bCs/>
      <w:i/>
      <w:iCs/>
      <w:color w:val="4472C4" w:themeColor="accent1"/>
    </w:rPr>
  </w:style>
  <w:style w:type="paragraph" w:styleId="Heading5">
    <w:name w:val="heading 5"/>
    <w:basedOn w:val="Normal"/>
    <w:next w:val="Normal"/>
    <w:link w:val="Heading5Char"/>
    <w:uiPriority w:val="9"/>
    <w:semiHidden/>
    <w:unhideWhenUsed/>
    <w:qFormat/>
    <w:rsid w:val="00473C6E"/>
    <w:pPr>
      <w:keepNext/>
      <w:keepLines/>
      <w:spacing w:before="200" w:after="0"/>
      <w:outlineLvl w:val="4"/>
    </w:pPr>
    <w:rPr>
      <w:rFonts w:asciiTheme="majorHAnsi" w:eastAsiaTheme="majorEastAsia" w:hAnsiTheme="majorHAnsi" w:cstheme="majorBidi"/>
      <w:color w:val="1F3763" w:themeColor="accent1" w:themeShade="7F"/>
    </w:rPr>
  </w:style>
  <w:style w:type="paragraph" w:styleId="Heading6">
    <w:name w:val="heading 6"/>
    <w:basedOn w:val="Normal"/>
    <w:next w:val="Normal"/>
    <w:link w:val="Heading6Char"/>
    <w:uiPriority w:val="9"/>
    <w:semiHidden/>
    <w:unhideWhenUsed/>
    <w:qFormat/>
    <w:rsid w:val="00473C6E"/>
    <w:pPr>
      <w:keepNext/>
      <w:keepLines/>
      <w:spacing w:before="200" w:after="0"/>
      <w:outlineLvl w:val="5"/>
    </w:pPr>
    <w:rPr>
      <w:rFonts w:asciiTheme="majorHAnsi" w:eastAsiaTheme="majorEastAsia" w:hAnsiTheme="majorHAnsi" w:cstheme="majorBidi"/>
      <w:i/>
      <w:iCs/>
      <w:color w:val="1F3763" w:themeColor="accent1" w:themeShade="7F"/>
    </w:rPr>
  </w:style>
  <w:style w:type="paragraph" w:styleId="Heading7">
    <w:name w:val="heading 7"/>
    <w:basedOn w:val="Normal"/>
    <w:next w:val="Normal"/>
    <w:link w:val="Heading7Char"/>
    <w:uiPriority w:val="9"/>
    <w:unhideWhenUsed/>
    <w:qFormat/>
    <w:rsid w:val="00473C6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473C6E"/>
    <w:pPr>
      <w:keepNext/>
      <w:keepLines/>
      <w:spacing w:before="200" w:after="0"/>
      <w:outlineLvl w:val="7"/>
    </w:pPr>
    <w:rPr>
      <w:rFonts w:asciiTheme="majorHAnsi" w:eastAsiaTheme="majorEastAsia" w:hAnsiTheme="majorHAnsi" w:cstheme="majorBidi"/>
      <w:color w:val="4472C4" w:themeColor="accent1"/>
      <w:sz w:val="20"/>
      <w:szCs w:val="20"/>
    </w:rPr>
  </w:style>
  <w:style w:type="paragraph" w:styleId="Heading9">
    <w:name w:val="heading 9"/>
    <w:basedOn w:val="Normal"/>
    <w:next w:val="Normal"/>
    <w:link w:val="Heading9Char"/>
    <w:uiPriority w:val="9"/>
    <w:semiHidden/>
    <w:unhideWhenUsed/>
    <w:qFormat/>
    <w:rsid w:val="00473C6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473C6E"/>
    <w:pPr>
      <w:pBdr>
        <w:bottom w:val="single" w:sz="8" w:space="4" w:color="4472C4" w:themeColor="accent1"/>
      </w:pBdr>
      <w:spacing w:after="300" w:line="240" w:lineRule="auto"/>
      <w:contextualSpacing/>
    </w:pPr>
    <w:rPr>
      <w:rFonts w:asciiTheme="majorHAnsi" w:eastAsiaTheme="majorEastAsia" w:hAnsiTheme="majorHAnsi" w:cstheme="majorBidi"/>
      <w:color w:val="323E4F" w:themeColor="text2" w:themeShade="BF"/>
      <w:spacing w:val="5"/>
      <w:sz w:val="52"/>
      <w:szCs w:val="52"/>
    </w:rPr>
  </w:style>
  <w:style w:type="character" w:customStyle="1" w:styleId="Heading1Char">
    <w:name w:val="Heading 1 Char"/>
    <w:basedOn w:val="DefaultParagraphFont"/>
    <w:link w:val="Heading1"/>
    <w:uiPriority w:val="9"/>
    <w:rsid w:val="00473C6E"/>
    <w:rPr>
      <w:rFonts w:asciiTheme="majorHAnsi" w:eastAsiaTheme="majorEastAsia" w:hAnsiTheme="majorHAnsi" w:cstheme="majorBidi"/>
      <w:b/>
      <w:bCs/>
      <w:color w:val="2F5496" w:themeColor="accent1" w:themeShade="BF"/>
      <w:sz w:val="28"/>
      <w:szCs w:val="28"/>
    </w:rPr>
  </w:style>
  <w:style w:type="character" w:customStyle="1" w:styleId="Heading2Char">
    <w:name w:val="Heading 2 Char"/>
    <w:basedOn w:val="DefaultParagraphFont"/>
    <w:link w:val="Heading2"/>
    <w:uiPriority w:val="9"/>
    <w:rsid w:val="00473C6E"/>
    <w:rPr>
      <w:rFonts w:asciiTheme="majorHAnsi" w:eastAsiaTheme="majorEastAsia" w:hAnsiTheme="majorHAnsi" w:cstheme="majorBidi"/>
      <w:b/>
      <w:bCs/>
      <w:color w:val="4472C4" w:themeColor="accent1"/>
      <w:sz w:val="26"/>
      <w:szCs w:val="26"/>
    </w:rPr>
  </w:style>
  <w:style w:type="character" w:customStyle="1" w:styleId="Heading3Char">
    <w:name w:val="Heading 3 Char"/>
    <w:basedOn w:val="DefaultParagraphFont"/>
    <w:link w:val="Heading3"/>
    <w:rsid w:val="00473C6E"/>
    <w:rPr>
      <w:rFonts w:asciiTheme="majorHAnsi" w:eastAsiaTheme="majorEastAsia" w:hAnsiTheme="majorHAnsi" w:cstheme="majorBidi"/>
      <w:b/>
      <w:bCs/>
      <w:color w:val="4472C4" w:themeColor="accent1"/>
    </w:rPr>
  </w:style>
  <w:style w:type="character" w:customStyle="1" w:styleId="Heading4Char">
    <w:name w:val="Heading 4 Char"/>
    <w:basedOn w:val="DefaultParagraphFont"/>
    <w:link w:val="Heading4"/>
    <w:uiPriority w:val="9"/>
    <w:semiHidden/>
    <w:rsid w:val="00473C6E"/>
    <w:rPr>
      <w:rFonts w:asciiTheme="majorHAnsi" w:eastAsiaTheme="majorEastAsia" w:hAnsiTheme="majorHAnsi" w:cstheme="majorBidi"/>
      <w:b/>
      <w:bCs/>
      <w:i/>
      <w:iCs/>
      <w:color w:val="4472C4" w:themeColor="accent1"/>
    </w:rPr>
  </w:style>
  <w:style w:type="character" w:customStyle="1" w:styleId="Heading5Char">
    <w:name w:val="Heading 5 Char"/>
    <w:basedOn w:val="DefaultParagraphFont"/>
    <w:link w:val="Heading5"/>
    <w:uiPriority w:val="9"/>
    <w:semiHidden/>
    <w:rsid w:val="00473C6E"/>
    <w:rPr>
      <w:rFonts w:asciiTheme="majorHAnsi" w:eastAsiaTheme="majorEastAsia" w:hAnsiTheme="majorHAnsi" w:cstheme="majorBidi"/>
      <w:color w:val="1F3763" w:themeColor="accent1" w:themeShade="7F"/>
    </w:rPr>
  </w:style>
  <w:style w:type="character" w:customStyle="1" w:styleId="Heading6Char">
    <w:name w:val="Heading 6 Char"/>
    <w:basedOn w:val="DefaultParagraphFont"/>
    <w:link w:val="Heading6"/>
    <w:uiPriority w:val="9"/>
    <w:semiHidden/>
    <w:rsid w:val="00473C6E"/>
    <w:rPr>
      <w:rFonts w:asciiTheme="majorHAnsi" w:eastAsiaTheme="majorEastAsia" w:hAnsiTheme="majorHAnsi" w:cstheme="majorBidi"/>
      <w:i/>
      <w:iCs/>
      <w:color w:val="1F3763" w:themeColor="accent1" w:themeShade="7F"/>
    </w:rPr>
  </w:style>
  <w:style w:type="character" w:customStyle="1" w:styleId="Heading7Char">
    <w:name w:val="Heading 7 Char"/>
    <w:basedOn w:val="DefaultParagraphFont"/>
    <w:link w:val="Heading7"/>
    <w:uiPriority w:val="9"/>
    <w:rsid w:val="00473C6E"/>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473C6E"/>
    <w:rPr>
      <w:rFonts w:asciiTheme="majorHAnsi" w:eastAsiaTheme="majorEastAsia" w:hAnsiTheme="majorHAnsi" w:cstheme="majorBidi"/>
      <w:color w:val="4472C4" w:themeColor="accent1"/>
      <w:sz w:val="20"/>
      <w:szCs w:val="20"/>
    </w:rPr>
  </w:style>
  <w:style w:type="character" w:customStyle="1" w:styleId="Heading9Char">
    <w:name w:val="Heading 9 Char"/>
    <w:basedOn w:val="DefaultParagraphFont"/>
    <w:link w:val="Heading9"/>
    <w:uiPriority w:val="9"/>
    <w:semiHidden/>
    <w:rsid w:val="00473C6E"/>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473C6E"/>
    <w:pPr>
      <w:spacing w:line="240" w:lineRule="auto"/>
    </w:pPr>
    <w:rPr>
      <w:b/>
      <w:bCs/>
      <w:color w:val="4472C4" w:themeColor="accent1"/>
      <w:sz w:val="18"/>
      <w:szCs w:val="18"/>
    </w:rPr>
  </w:style>
  <w:style w:type="character" w:customStyle="1" w:styleId="TitleChar">
    <w:name w:val="Title Char"/>
    <w:basedOn w:val="DefaultParagraphFont"/>
    <w:link w:val="Title"/>
    <w:uiPriority w:val="10"/>
    <w:rsid w:val="00473C6E"/>
    <w:rPr>
      <w:rFonts w:asciiTheme="majorHAnsi" w:eastAsiaTheme="majorEastAsia" w:hAnsiTheme="majorHAnsi" w:cstheme="majorBidi"/>
      <w:color w:val="323E4F" w:themeColor="text2" w:themeShade="BF"/>
      <w:spacing w:val="5"/>
      <w:sz w:val="52"/>
      <w:szCs w:val="52"/>
    </w:rPr>
  </w:style>
  <w:style w:type="paragraph" w:styleId="Subtitle">
    <w:name w:val="Subtitle"/>
    <w:basedOn w:val="Normal"/>
    <w:next w:val="Normal"/>
    <w:link w:val="SubtitleChar"/>
    <w:rsid w:val="00F17DC9"/>
    <w:rPr>
      <w:i/>
      <w:color w:val="4472C4"/>
      <w:sz w:val="24"/>
      <w:szCs w:val="24"/>
    </w:rPr>
  </w:style>
  <w:style w:type="character" w:customStyle="1" w:styleId="SubtitleChar">
    <w:name w:val="Subtitle Char"/>
    <w:basedOn w:val="DefaultParagraphFont"/>
    <w:link w:val="Subtitle"/>
    <w:uiPriority w:val="11"/>
    <w:rsid w:val="00473C6E"/>
    <w:rPr>
      <w:rFonts w:asciiTheme="majorHAnsi" w:eastAsiaTheme="majorEastAsia" w:hAnsiTheme="majorHAnsi" w:cstheme="majorBidi"/>
      <w:i/>
      <w:iCs/>
      <w:color w:val="4472C4" w:themeColor="accent1"/>
      <w:spacing w:val="15"/>
      <w:sz w:val="24"/>
      <w:szCs w:val="24"/>
    </w:rPr>
  </w:style>
  <w:style w:type="character" w:styleId="Strong">
    <w:name w:val="Strong"/>
    <w:basedOn w:val="DefaultParagraphFont"/>
    <w:uiPriority w:val="22"/>
    <w:qFormat/>
    <w:rsid w:val="00473C6E"/>
    <w:rPr>
      <w:b/>
      <w:bCs/>
    </w:rPr>
  </w:style>
  <w:style w:type="character" w:styleId="Emphasis">
    <w:name w:val="Emphasis"/>
    <w:basedOn w:val="DefaultParagraphFont"/>
    <w:uiPriority w:val="20"/>
    <w:qFormat/>
    <w:rsid w:val="00473C6E"/>
    <w:rPr>
      <w:i/>
      <w:iCs/>
    </w:rPr>
  </w:style>
  <w:style w:type="paragraph" w:styleId="NoSpacing">
    <w:name w:val="No Spacing"/>
    <w:uiPriority w:val="1"/>
    <w:qFormat/>
    <w:rsid w:val="00473C6E"/>
    <w:pPr>
      <w:spacing w:after="0" w:line="240" w:lineRule="auto"/>
    </w:pPr>
  </w:style>
  <w:style w:type="paragraph" w:styleId="Quote">
    <w:name w:val="Quote"/>
    <w:basedOn w:val="Normal"/>
    <w:next w:val="Normal"/>
    <w:link w:val="QuoteChar"/>
    <w:uiPriority w:val="29"/>
    <w:qFormat/>
    <w:rsid w:val="00473C6E"/>
    <w:rPr>
      <w:i/>
      <w:iCs/>
      <w:color w:val="000000" w:themeColor="text1"/>
    </w:rPr>
  </w:style>
  <w:style w:type="character" w:customStyle="1" w:styleId="QuoteChar">
    <w:name w:val="Quote Char"/>
    <w:basedOn w:val="DefaultParagraphFont"/>
    <w:link w:val="Quote"/>
    <w:uiPriority w:val="29"/>
    <w:rsid w:val="00473C6E"/>
    <w:rPr>
      <w:i/>
      <w:iCs/>
      <w:color w:val="000000" w:themeColor="text1"/>
    </w:rPr>
  </w:style>
  <w:style w:type="paragraph" w:styleId="IntenseQuote">
    <w:name w:val="Intense Quote"/>
    <w:basedOn w:val="Normal"/>
    <w:next w:val="Normal"/>
    <w:link w:val="IntenseQuoteChar"/>
    <w:uiPriority w:val="30"/>
    <w:qFormat/>
    <w:rsid w:val="00473C6E"/>
    <w:pPr>
      <w:pBdr>
        <w:bottom w:val="single" w:sz="4" w:space="4" w:color="4472C4" w:themeColor="accent1"/>
      </w:pBdr>
      <w:spacing w:before="200" w:after="280"/>
      <w:ind w:left="936" w:right="936"/>
    </w:pPr>
    <w:rPr>
      <w:b/>
      <w:bCs/>
      <w:i/>
      <w:iCs/>
      <w:color w:val="4472C4" w:themeColor="accent1"/>
    </w:rPr>
  </w:style>
  <w:style w:type="character" w:customStyle="1" w:styleId="IntenseQuoteChar">
    <w:name w:val="Intense Quote Char"/>
    <w:basedOn w:val="DefaultParagraphFont"/>
    <w:link w:val="IntenseQuote"/>
    <w:uiPriority w:val="30"/>
    <w:rsid w:val="00473C6E"/>
    <w:rPr>
      <w:b/>
      <w:bCs/>
      <w:i/>
      <w:iCs/>
      <w:color w:val="4472C4" w:themeColor="accent1"/>
    </w:rPr>
  </w:style>
  <w:style w:type="character" w:styleId="SubtleEmphasis">
    <w:name w:val="Subtle Emphasis"/>
    <w:basedOn w:val="DefaultParagraphFont"/>
    <w:uiPriority w:val="19"/>
    <w:qFormat/>
    <w:rsid w:val="00473C6E"/>
    <w:rPr>
      <w:i/>
      <w:iCs/>
      <w:color w:val="808080" w:themeColor="text1" w:themeTint="7F"/>
    </w:rPr>
  </w:style>
  <w:style w:type="character" w:styleId="IntenseEmphasis">
    <w:name w:val="Intense Emphasis"/>
    <w:basedOn w:val="DefaultParagraphFont"/>
    <w:uiPriority w:val="21"/>
    <w:qFormat/>
    <w:rsid w:val="00473C6E"/>
    <w:rPr>
      <w:b/>
      <w:bCs/>
      <w:i/>
      <w:iCs/>
      <w:color w:val="4472C4" w:themeColor="accent1"/>
    </w:rPr>
  </w:style>
  <w:style w:type="character" w:styleId="SubtleReference">
    <w:name w:val="Subtle Reference"/>
    <w:basedOn w:val="DefaultParagraphFont"/>
    <w:uiPriority w:val="31"/>
    <w:qFormat/>
    <w:rsid w:val="00473C6E"/>
    <w:rPr>
      <w:smallCaps/>
      <w:color w:val="ED7D31" w:themeColor="accent2"/>
      <w:u w:val="single"/>
    </w:rPr>
  </w:style>
  <w:style w:type="character" w:styleId="IntenseReference">
    <w:name w:val="Intense Reference"/>
    <w:basedOn w:val="DefaultParagraphFont"/>
    <w:uiPriority w:val="32"/>
    <w:qFormat/>
    <w:rsid w:val="00473C6E"/>
    <w:rPr>
      <w:b/>
      <w:bCs/>
      <w:smallCaps/>
      <w:color w:val="ED7D31" w:themeColor="accent2"/>
      <w:spacing w:val="5"/>
      <w:u w:val="single"/>
    </w:rPr>
  </w:style>
  <w:style w:type="character" w:styleId="BookTitle">
    <w:name w:val="Book Title"/>
    <w:basedOn w:val="DefaultParagraphFont"/>
    <w:uiPriority w:val="33"/>
    <w:qFormat/>
    <w:rsid w:val="00473C6E"/>
    <w:rPr>
      <w:b/>
      <w:bCs/>
      <w:smallCaps/>
      <w:spacing w:val="5"/>
    </w:rPr>
  </w:style>
  <w:style w:type="paragraph" w:styleId="TOCHeading">
    <w:name w:val="TOC Heading"/>
    <w:basedOn w:val="Heading1"/>
    <w:next w:val="Normal"/>
    <w:uiPriority w:val="39"/>
    <w:semiHidden/>
    <w:unhideWhenUsed/>
    <w:qFormat/>
    <w:rsid w:val="00473C6E"/>
    <w:pPr>
      <w:outlineLvl w:val="9"/>
    </w:pPr>
  </w:style>
  <w:style w:type="paragraph" w:styleId="Header">
    <w:name w:val="header"/>
    <w:basedOn w:val="Normal"/>
    <w:link w:val="HeaderChar"/>
    <w:uiPriority w:val="99"/>
    <w:unhideWhenUsed/>
    <w:rsid w:val="00473C6E"/>
    <w:pPr>
      <w:tabs>
        <w:tab w:val="center" w:pos="4513"/>
        <w:tab w:val="right" w:pos="9026"/>
      </w:tabs>
      <w:spacing w:after="0" w:line="240" w:lineRule="auto"/>
    </w:pPr>
  </w:style>
  <w:style w:type="character" w:customStyle="1" w:styleId="HeaderChar">
    <w:name w:val="Header Char"/>
    <w:basedOn w:val="DefaultParagraphFont"/>
    <w:link w:val="Header"/>
    <w:uiPriority w:val="99"/>
    <w:rsid w:val="00473C6E"/>
  </w:style>
  <w:style w:type="paragraph" w:styleId="Footer">
    <w:name w:val="footer"/>
    <w:basedOn w:val="Normal"/>
    <w:link w:val="FooterChar"/>
    <w:uiPriority w:val="99"/>
    <w:unhideWhenUsed/>
    <w:rsid w:val="00473C6E"/>
    <w:pPr>
      <w:tabs>
        <w:tab w:val="center" w:pos="4513"/>
        <w:tab w:val="right" w:pos="9026"/>
      </w:tabs>
      <w:spacing w:after="0" w:line="240" w:lineRule="auto"/>
    </w:pPr>
  </w:style>
  <w:style w:type="character" w:customStyle="1" w:styleId="FooterChar">
    <w:name w:val="Footer Char"/>
    <w:basedOn w:val="DefaultParagraphFont"/>
    <w:link w:val="Footer"/>
    <w:uiPriority w:val="99"/>
    <w:rsid w:val="00473C6E"/>
  </w:style>
  <w:style w:type="paragraph" w:customStyle="1" w:styleId="Els-Abstract-head">
    <w:name w:val="Els-Abstract-head"/>
    <w:next w:val="Normal"/>
    <w:rsid w:val="007A17B8"/>
    <w:pPr>
      <w:keepNext/>
      <w:suppressAutoHyphens/>
      <w:spacing w:before="440" w:line="240" w:lineRule="auto"/>
    </w:pPr>
    <w:rPr>
      <w:rFonts w:ascii="Times New Roman" w:eastAsia="SimSun" w:hAnsi="Times New Roman" w:cs="Times New Roman"/>
      <w:b/>
      <w:sz w:val="18"/>
      <w:szCs w:val="20"/>
      <w:lang w:val="en-US"/>
    </w:rPr>
  </w:style>
  <w:style w:type="paragraph" w:customStyle="1" w:styleId="Els-Abstract-text">
    <w:name w:val="Els-Abstract-text"/>
    <w:next w:val="Normal"/>
    <w:rsid w:val="007A17B8"/>
    <w:pPr>
      <w:pBdr>
        <w:top w:val="single" w:sz="4" w:space="1" w:color="auto"/>
      </w:pBdr>
      <w:spacing w:before="200" w:after="0" w:line="220" w:lineRule="exact"/>
      <w:jc w:val="both"/>
    </w:pPr>
    <w:rPr>
      <w:rFonts w:ascii="Times New Roman" w:eastAsia="SimSun" w:hAnsi="Times New Roman" w:cs="Times New Roman"/>
      <w:sz w:val="15"/>
      <w:szCs w:val="20"/>
      <w:lang w:val="en-US"/>
    </w:rPr>
  </w:style>
  <w:style w:type="paragraph" w:customStyle="1" w:styleId="Els-Affiliation">
    <w:name w:val="Els-Affiliation"/>
    <w:next w:val="Els-Abstract-head"/>
    <w:autoRedefine/>
    <w:rsid w:val="007A17B8"/>
    <w:pPr>
      <w:pBdr>
        <w:bottom w:val="single" w:sz="2" w:space="1" w:color="auto"/>
      </w:pBdr>
      <w:suppressAutoHyphens/>
      <w:spacing w:after="0" w:line="230" w:lineRule="exact"/>
    </w:pPr>
    <w:rPr>
      <w:rFonts w:ascii="Times New Roman" w:eastAsia="SimSun" w:hAnsi="Times New Roman" w:cs="Times New Roman"/>
      <w:i/>
      <w:noProof/>
      <w:sz w:val="16"/>
      <w:szCs w:val="20"/>
      <w:lang w:val="en-US"/>
    </w:rPr>
  </w:style>
  <w:style w:type="paragraph" w:customStyle="1" w:styleId="Els-body-text">
    <w:name w:val="Els-body-text"/>
    <w:rsid w:val="007A17B8"/>
    <w:pPr>
      <w:spacing w:after="0" w:line="230" w:lineRule="exact"/>
      <w:ind w:firstLine="238"/>
      <w:jc w:val="both"/>
    </w:pPr>
    <w:rPr>
      <w:rFonts w:ascii="Times New Roman" w:eastAsia="SimSun" w:hAnsi="Times New Roman" w:cs="Times New Roman"/>
      <w:sz w:val="16"/>
      <w:szCs w:val="20"/>
      <w:lang w:val="en-US"/>
    </w:rPr>
  </w:style>
  <w:style w:type="paragraph" w:customStyle="1" w:styleId="Els-history">
    <w:name w:val="Els-history"/>
    <w:next w:val="Normal"/>
    <w:rsid w:val="007A17B8"/>
    <w:pPr>
      <w:pBdr>
        <w:top w:val="single" w:sz="4" w:space="1" w:color="auto"/>
      </w:pBdr>
      <w:spacing w:after="0" w:line="230" w:lineRule="exact"/>
    </w:pPr>
    <w:rPr>
      <w:rFonts w:ascii="Times New Roman" w:eastAsia="SimSun" w:hAnsi="Times New Roman" w:cs="Times New Roman"/>
      <w:noProof/>
      <w:sz w:val="15"/>
      <w:szCs w:val="20"/>
      <w:lang w:val="en-US"/>
    </w:rPr>
  </w:style>
  <w:style w:type="paragraph" w:customStyle="1" w:styleId="Els-keywords">
    <w:name w:val="Els-keywords"/>
    <w:next w:val="Normal"/>
    <w:autoRedefine/>
    <w:rsid w:val="007A17B8"/>
    <w:pPr>
      <w:pBdr>
        <w:top w:val="single" w:sz="4" w:space="1" w:color="auto"/>
      </w:pBdr>
      <w:spacing w:after="0" w:line="230" w:lineRule="exact"/>
    </w:pPr>
    <w:rPr>
      <w:rFonts w:ascii="Times New Roman" w:eastAsia="SimSun" w:hAnsi="Times New Roman" w:cs="Times New Roman"/>
      <w:noProof/>
      <w:sz w:val="15"/>
      <w:szCs w:val="20"/>
      <w:lang w:val="en-US"/>
    </w:rPr>
  </w:style>
  <w:style w:type="paragraph" w:customStyle="1" w:styleId="Els-Abstract-Copyright">
    <w:name w:val="Els-Abstract-Copyright"/>
    <w:basedOn w:val="Els-Abstract-text"/>
    <w:rsid w:val="007A17B8"/>
    <w:pPr>
      <w:spacing w:before="0" w:line="230" w:lineRule="exact"/>
      <w:jc w:val="right"/>
    </w:pPr>
  </w:style>
  <w:style w:type="table" w:styleId="TableGrid">
    <w:name w:val="Table Grid"/>
    <w:basedOn w:val="TableNormal"/>
    <w:uiPriority w:val="39"/>
    <w:rsid w:val="007A17B8"/>
    <w:pPr>
      <w:spacing w:after="0" w:line="240" w:lineRule="auto"/>
    </w:pPr>
    <w:rPr>
      <w:rFonts w:ascii="Times New Roman" w:eastAsia="SimSun" w:hAnsi="Times New Roman" w:cs="Times New Roman"/>
      <w:sz w:val="20"/>
      <w:szCs w:val="20"/>
      <w:lang w:val="en-IN" w:eastAsia="en-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ls-history-head">
    <w:name w:val="Els-history-head"/>
    <w:basedOn w:val="Els-history"/>
    <w:qFormat/>
    <w:rsid w:val="007A17B8"/>
    <w:rPr>
      <w:i/>
    </w:rPr>
  </w:style>
  <w:style w:type="paragraph" w:styleId="FootnoteText">
    <w:name w:val="footnote text"/>
    <w:basedOn w:val="Normal"/>
    <w:link w:val="FootnoteTextChar"/>
    <w:uiPriority w:val="99"/>
    <w:semiHidden/>
    <w:unhideWhenUsed/>
    <w:rsid w:val="007A17B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7A17B8"/>
    <w:rPr>
      <w:sz w:val="20"/>
      <w:szCs w:val="20"/>
    </w:rPr>
  </w:style>
  <w:style w:type="character" w:styleId="FootnoteReference">
    <w:name w:val="footnote reference"/>
    <w:basedOn w:val="DefaultParagraphFont"/>
    <w:uiPriority w:val="99"/>
    <w:semiHidden/>
    <w:unhideWhenUsed/>
    <w:rsid w:val="007A17B8"/>
    <w:rPr>
      <w:vertAlign w:val="superscript"/>
    </w:rPr>
  </w:style>
  <w:style w:type="paragraph" w:customStyle="1" w:styleId="Els-1storder-head">
    <w:name w:val="Els-1storder-head"/>
    <w:next w:val="Els-body-text"/>
    <w:rsid w:val="005F5054"/>
    <w:pPr>
      <w:keepNext/>
      <w:pBdr>
        <w:top w:val="single" w:sz="18" w:space="1" w:color="auto"/>
      </w:pBdr>
      <w:tabs>
        <w:tab w:val="num" w:pos="720"/>
      </w:tabs>
      <w:suppressAutoHyphens/>
      <w:spacing w:before="230" w:after="230" w:line="230" w:lineRule="exact"/>
      <w:ind w:left="720" w:hanging="720"/>
    </w:pPr>
    <w:rPr>
      <w:rFonts w:ascii="Times New Roman" w:eastAsia="SimSun" w:hAnsi="Times New Roman" w:cs="Times New Roman"/>
      <w:b/>
      <w:sz w:val="19"/>
      <w:szCs w:val="20"/>
      <w:lang w:val="en-US"/>
    </w:rPr>
  </w:style>
  <w:style w:type="paragraph" w:customStyle="1" w:styleId="Els-2ndorder-head">
    <w:name w:val="Els-2ndorder-head"/>
    <w:next w:val="Els-body-text"/>
    <w:rsid w:val="005F5054"/>
    <w:pPr>
      <w:keepNext/>
      <w:tabs>
        <w:tab w:val="num" w:pos="1440"/>
      </w:tabs>
      <w:suppressAutoHyphens/>
      <w:spacing w:before="230" w:after="230" w:line="230" w:lineRule="exact"/>
      <w:ind w:left="1440" w:hanging="720"/>
    </w:pPr>
    <w:rPr>
      <w:rFonts w:ascii="Times New Roman" w:eastAsia="SimSun" w:hAnsi="Times New Roman" w:cs="Times New Roman"/>
      <w:b/>
      <w:i/>
      <w:sz w:val="17"/>
      <w:szCs w:val="20"/>
      <w:lang w:val="en-US"/>
    </w:rPr>
  </w:style>
  <w:style w:type="paragraph" w:customStyle="1" w:styleId="Els-3rdorder-head">
    <w:name w:val="Els-3rdorder-head"/>
    <w:next w:val="Els-body-text"/>
    <w:rsid w:val="005F5054"/>
    <w:pPr>
      <w:keepNext/>
      <w:tabs>
        <w:tab w:val="num" w:pos="2160"/>
      </w:tabs>
      <w:suppressAutoHyphens/>
      <w:spacing w:before="240" w:after="0" w:line="240" w:lineRule="exact"/>
      <w:ind w:left="2160" w:hanging="720"/>
    </w:pPr>
    <w:rPr>
      <w:rFonts w:ascii="Times New Roman" w:eastAsia="SimSun" w:hAnsi="Times New Roman" w:cs="Times New Roman"/>
      <w:i/>
      <w:sz w:val="20"/>
      <w:szCs w:val="20"/>
      <w:lang w:val="en-US"/>
    </w:rPr>
  </w:style>
  <w:style w:type="paragraph" w:customStyle="1" w:styleId="Els-4thorder-head">
    <w:name w:val="Els-4thorder-head"/>
    <w:next w:val="Els-body-text"/>
    <w:rsid w:val="005F5054"/>
    <w:pPr>
      <w:keepNext/>
      <w:tabs>
        <w:tab w:val="num" w:pos="2880"/>
      </w:tabs>
      <w:suppressAutoHyphens/>
      <w:spacing w:before="240" w:after="0" w:line="240" w:lineRule="exact"/>
      <w:ind w:left="2880" w:hanging="720"/>
    </w:pPr>
    <w:rPr>
      <w:rFonts w:ascii="Times New Roman" w:eastAsia="SimSun" w:hAnsi="Times New Roman" w:cs="Times New Roman"/>
      <w:i/>
      <w:sz w:val="20"/>
      <w:szCs w:val="20"/>
      <w:lang w:val="en-US"/>
    </w:rPr>
  </w:style>
  <w:style w:type="table" w:customStyle="1" w:styleId="a">
    <w:basedOn w:val="TableNormal"/>
    <w:rsid w:val="00F17DC9"/>
    <w:pPr>
      <w:spacing w:after="0" w:line="240" w:lineRule="auto"/>
    </w:pPr>
    <w:rPr>
      <w:rFonts w:ascii="Times New Roman" w:eastAsia="Times New Roman" w:hAnsi="Times New Roman" w:cs="Times New Roman"/>
      <w:sz w:val="20"/>
      <w:szCs w:val="20"/>
    </w:rPr>
    <w:tblPr>
      <w:tblStyleRowBandSize w:val="1"/>
      <w:tblStyleColBandSize w:val="1"/>
    </w:tblPr>
  </w:style>
  <w:style w:type="table" w:customStyle="1" w:styleId="a0">
    <w:basedOn w:val="TableNormal"/>
    <w:rsid w:val="00F17DC9"/>
    <w:tblPr>
      <w:tblStyleRowBandSize w:val="1"/>
      <w:tblStyleColBandSize w:val="1"/>
      <w:tblCellMar>
        <w:top w:w="100" w:type="dxa"/>
        <w:left w:w="100" w:type="dxa"/>
        <w:bottom w:w="100" w:type="dxa"/>
        <w:right w:w="100" w:type="dxa"/>
      </w:tblCellMar>
    </w:tblPr>
  </w:style>
  <w:style w:type="paragraph" w:styleId="BalloonText">
    <w:name w:val="Balloon Text"/>
    <w:basedOn w:val="Normal"/>
    <w:link w:val="BalloonTextChar"/>
    <w:uiPriority w:val="99"/>
    <w:semiHidden/>
    <w:unhideWhenUsed/>
    <w:rsid w:val="00676F78"/>
    <w:pPr>
      <w:spacing w:after="0" w:line="240" w:lineRule="auto"/>
    </w:pPr>
    <w:rPr>
      <w:rFonts w:ascii="Tahoma" w:hAnsi="Tahoma" w:cs="Tahoma"/>
      <w:sz w:val="16"/>
      <w:szCs w:val="14"/>
    </w:rPr>
  </w:style>
  <w:style w:type="character" w:customStyle="1" w:styleId="BalloonTextChar">
    <w:name w:val="Balloon Text Char"/>
    <w:basedOn w:val="DefaultParagraphFont"/>
    <w:link w:val="BalloonText"/>
    <w:uiPriority w:val="99"/>
    <w:semiHidden/>
    <w:rsid w:val="00676F78"/>
    <w:rPr>
      <w:rFonts w:ascii="Tahoma" w:hAnsi="Tahoma" w:cs="Tahoma"/>
      <w:sz w:val="16"/>
      <w:szCs w:val="14"/>
    </w:rPr>
  </w:style>
  <w:style w:type="paragraph" w:customStyle="1" w:styleId="Default">
    <w:name w:val="Default"/>
    <w:rsid w:val="00BA00A7"/>
    <w:pPr>
      <w:autoSpaceDE w:val="0"/>
      <w:autoSpaceDN w:val="0"/>
      <w:adjustRightInd w:val="0"/>
      <w:spacing w:after="0" w:line="240" w:lineRule="auto"/>
    </w:pPr>
    <w:rPr>
      <w:rFonts w:ascii="Times New Roman" w:eastAsiaTheme="minorHAnsi" w:hAnsi="Times New Roman" w:cs="Times New Roman"/>
      <w:color w:val="000000"/>
      <w:sz w:val="24"/>
      <w:szCs w:val="24"/>
      <w:lang w:val="en-US" w:bidi="ar-SA"/>
    </w:rPr>
  </w:style>
  <w:style w:type="character" w:styleId="Hyperlink">
    <w:name w:val="Hyperlink"/>
    <w:basedOn w:val="DefaultParagraphFont"/>
    <w:uiPriority w:val="99"/>
    <w:unhideWhenUsed/>
    <w:rsid w:val="00181A4A"/>
    <w:rPr>
      <w:color w:val="0563C1" w:themeColor="hyperlink"/>
      <w:u w:val="single"/>
    </w:rPr>
  </w:style>
  <w:style w:type="table" w:styleId="LightShading">
    <w:name w:val="Light Shading"/>
    <w:basedOn w:val="TableNormal"/>
    <w:uiPriority w:val="60"/>
    <w:rsid w:val="00BA1CF8"/>
    <w:pPr>
      <w:spacing w:after="0" w:line="240" w:lineRule="auto"/>
    </w:pPr>
    <w:rPr>
      <w:rFonts w:asciiTheme="minorHAnsi" w:eastAsiaTheme="minorHAnsi" w:hAnsiTheme="minorHAnsi" w:cstheme="minorBidi"/>
      <w:color w:val="000000" w:themeColor="text1" w:themeShade="BF"/>
      <w:lang w:val="en-US" w:bidi="ar-SA"/>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ListParagraph">
    <w:name w:val="List Paragraph"/>
    <w:aliases w:val="UGEX'Z,laporan ilmiah praktik,Body of text,KhusBay,List Paragraph1,Medium Grid 1 - Accent 21,Body of text+1,Body of text+2,Body of text+3,List Paragraph11"/>
    <w:basedOn w:val="Normal"/>
    <w:link w:val="ListParagraphChar"/>
    <w:uiPriority w:val="34"/>
    <w:qFormat/>
    <w:rsid w:val="00A540FA"/>
    <w:pPr>
      <w:spacing w:after="160" w:line="259" w:lineRule="auto"/>
      <w:ind w:left="720"/>
      <w:contextualSpacing/>
    </w:pPr>
    <w:rPr>
      <w:rFonts w:asciiTheme="minorHAnsi" w:eastAsiaTheme="minorHAnsi" w:hAnsiTheme="minorHAnsi" w:cstheme="minorBidi"/>
      <w:lang w:val="en-US" w:bidi="ar-SA"/>
    </w:rPr>
  </w:style>
  <w:style w:type="character" w:customStyle="1" w:styleId="ListParagraphChar">
    <w:name w:val="List Paragraph Char"/>
    <w:aliases w:val="UGEX'Z Char,laporan ilmiah praktik Char,Body of text Char,KhusBay Char,List Paragraph1 Char,Medium Grid 1 - Accent 21 Char,Body of text+1 Char,Body of text+2 Char,Body of text+3 Char,List Paragraph11 Char"/>
    <w:basedOn w:val="DefaultParagraphFont"/>
    <w:link w:val="ListParagraph"/>
    <w:uiPriority w:val="34"/>
    <w:qFormat/>
    <w:rsid w:val="00A540FA"/>
    <w:rPr>
      <w:rFonts w:asciiTheme="minorHAnsi" w:eastAsiaTheme="minorHAnsi" w:hAnsiTheme="minorHAnsi" w:cstheme="minorBidi"/>
      <w:lang w:val="en-US" w:bidi="ar-SA"/>
    </w:rPr>
  </w:style>
  <w:style w:type="paragraph" w:styleId="BodyText">
    <w:name w:val="Body Text"/>
    <w:basedOn w:val="Normal"/>
    <w:link w:val="BodyTextChar"/>
    <w:uiPriority w:val="99"/>
    <w:qFormat/>
    <w:rsid w:val="004037F0"/>
    <w:pPr>
      <w:widowControl w:val="0"/>
      <w:autoSpaceDE w:val="0"/>
      <w:autoSpaceDN w:val="0"/>
      <w:spacing w:after="0" w:line="240" w:lineRule="auto"/>
    </w:pPr>
    <w:rPr>
      <w:rFonts w:ascii="Times New Roman" w:eastAsia="Times New Roman" w:hAnsi="Times New Roman" w:cs="Times New Roman"/>
      <w:lang w:val="en-US" w:bidi="en-US"/>
    </w:rPr>
  </w:style>
  <w:style w:type="character" w:customStyle="1" w:styleId="BodyTextChar">
    <w:name w:val="Body Text Char"/>
    <w:basedOn w:val="DefaultParagraphFont"/>
    <w:link w:val="BodyText"/>
    <w:uiPriority w:val="99"/>
    <w:rsid w:val="004037F0"/>
    <w:rPr>
      <w:rFonts w:ascii="Times New Roman" w:eastAsia="Times New Roman" w:hAnsi="Times New Roman" w:cs="Times New Roman"/>
      <w:lang w:val="en-US" w:bidi="en-US"/>
    </w:rPr>
  </w:style>
  <w:style w:type="table" w:customStyle="1" w:styleId="ListTable6Colorful1">
    <w:name w:val="List Table 6 Colorful1"/>
    <w:basedOn w:val="TableNormal"/>
    <w:uiPriority w:val="51"/>
    <w:rsid w:val="004037F0"/>
    <w:pPr>
      <w:widowControl w:val="0"/>
      <w:autoSpaceDE w:val="0"/>
      <w:autoSpaceDN w:val="0"/>
      <w:spacing w:after="0" w:line="240" w:lineRule="auto"/>
    </w:pPr>
    <w:rPr>
      <w:rFonts w:asciiTheme="minorHAnsi" w:eastAsiaTheme="minorHAnsi" w:hAnsiTheme="minorHAnsi" w:cstheme="minorBidi"/>
      <w:color w:val="000000" w:themeColor="text1"/>
      <w:lang w:val="en-US" w:bidi="ar-SA"/>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42"/>
    <w:rsid w:val="00323590"/>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styleId="UnresolvedMention">
    <w:name w:val="Unresolved Mention"/>
    <w:basedOn w:val="DefaultParagraphFont"/>
    <w:uiPriority w:val="99"/>
    <w:semiHidden/>
    <w:unhideWhenUsed/>
    <w:rsid w:val="0018264D"/>
    <w:rPr>
      <w:color w:val="605E5C"/>
      <w:shd w:val="clear" w:color="auto" w:fill="E1DFDD"/>
    </w:rPr>
  </w:style>
  <w:style w:type="paragraph" w:styleId="BodyTextIndent3">
    <w:name w:val="Body Text Indent 3"/>
    <w:basedOn w:val="Normal"/>
    <w:link w:val="BodyTextIndent3Char"/>
    <w:uiPriority w:val="99"/>
    <w:unhideWhenUsed/>
    <w:rsid w:val="00023DC1"/>
    <w:pPr>
      <w:spacing w:after="120"/>
      <w:ind w:left="283"/>
    </w:pPr>
    <w:rPr>
      <w:sz w:val="16"/>
      <w:szCs w:val="14"/>
    </w:rPr>
  </w:style>
  <w:style w:type="character" w:customStyle="1" w:styleId="BodyTextIndent3Char">
    <w:name w:val="Body Text Indent 3 Char"/>
    <w:basedOn w:val="DefaultParagraphFont"/>
    <w:link w:val="BodyTextIndent3"/>
    <w:uiPriority w:val="99"/>
    <w:rsid w:val="00023DC1"/>
    <w:rPr>
      <w:sz w:val="16"/>
      <w:szCs w:val="14"/>
    </w:rPr>
  </w:style>
  <w:style w:type="character" w:customStyle="1" w:styleId="nlmarticle-title">
    <w:name w:val="nlm_article-title"/>
    <w:rsid w:val="00BC0A46"/>
  </w:style>
  <w:style w:type="character" w:styleId="HTMLCite">
    <w:name w:val="HTML Cite"/>
    <w:uiPriority w:val="99"/>
    <w:semiHidden/>
    <w:unhideWhenUsed/>
    <w:rsid w:val="00BC0A46"/>
    <w:rPr>
      <w:i/>
      <w:iCs/>
    </w:rPr>
  </w:style>
  <w:style w:type="paragraph" w:customStyle="1" w:styleId="first-para">
    <w:name w:val="first-para"/>
    <w:basedOn w:val="Normal"/>
    <w:uiPriority w:val="99"/>
    <w:rsid w:val="00BC0A46"/>
    <w:pPr>
      <w:spacing w:before="100" w:beforeAutospacing="1" w:after="100" w:afterAutospacing="1" w:line="240" w:lineRule="auto"/>
    </w:pPr>
    <w:rPr>
      <w:rFonts w:ascii="Times New Roman" w:eastAsia="Times New Roman" w:hAnsi="Times New Roman" w:cs="Times New Roman"/>
      <w:sz w:val="24"/>
      <w:szCs w:val="24"/>
      <w:lang w:val="en-GB" w:eastAsia="en-GB" w:bidi="ar-SA"/>
    </w:rPr>
  </w:style>
  <w:style w:type="paragraph" w:customStyle="1" w:styleId="MediumGrid21">
    <w:name w:val="Medium Grid 21"/>
    <w:uiPriority w:val="1"/>
    <w:qFormat/>
    <w:rsid w:val="00BC0A46"/>
    <w:pPr>
      <w:spacing w:after="0" w:line="240" w:lineRule="auto"/>
    </w:pPr>
    <w:rPr>
      <w:rFonts w:cs="Times New Roman"/>
      <w:lang w:val="en-US" w:bidi="ar-SA"/>
    </w:rPr>
  </w:style>
  <w:style w:type="character" w:customStyle="1" w:styleId="MediumGrid2Char">
    <w:name w:val="Medium Grid 2 Char"/>
    <w:link w:val="MediumGrid22"/>
    <w:uiPriority w:val="1"/>
    <w:locked/>
    <w:rsid w:val="00BC0A46"/>
    <w:rPr>
      <w:lang w:val="en-US"/>
    </w:rPr>
  </w:style>
  <w:style w:type="paragraph" w:customStyle="1" w:styleId="MediumGrid22">
    <w:name w:val="Medium Grid 22"/>
    <w:link w:val="MediumGrid2Char"/>
    <w:uiPriority w:val="1"/>
    <w:qFormat/>
    <w:rsid w:val="00BC0A46"/>
    <w:pPr>
      <w:spacing w:after="0" w:line="240" w:lineRule="auto"/>
    </w:pPr>
    <w:rPr>
      <w:lang w:val="en-US"/>
    </w:rPr>
  </w:style>
  <w:style w:type="character" w:customStyle="1" w:styleId="IntenseEmphasis1">
    <w:name w:val="Intense Emphasis1"/>
    <w:uiPriority w:val="21"/>
    <w:qFormat/>
    <w:rsid w:val="00BC0A46"/>
    <w:rPr>
      <w:rFonts w:ascii="Times New Roman" w:hAnsi="Times New Roman" w:cs="Times New Roman" w:hint="default"/>
      <w:color w:val="CC6600"/>
      <w:szCs w:val="20"/>
    </w:rPr>
  </w:style>
  <w:style w:type="character" w:customStyle="1" w:styleId="mntl-sc-block-headingtext">
    <w:name w:val="mntl-sc-block-heading__text"/>
    <w:basedOn w:val="DefaultParagraphFont"/>
    <w:rsid w:val="00BC0A46"/>
  </w:style>
  <w:style w:type="paragraph" w:customStyle="1" w:styleId="just">
    <w:name w:val="just"/>
    <w:basedOn w:val="Normal"/>
    <w:uiPriority w:val="99"/>
    <w:rsid w:val="00BC0A46"/>
    <w:pPr>
      <w:autoSpaceDE w:val="0"/>
      <w:autoSpaceDN w:val="0"/>
      <w:adjustRightInd w:val="0"/>
      <w:spacing w:before="100" w:after="100" w:line="360" w:lineRule="auto"/>
      <w:jc w:val="both"/>
    </w:pPr>
    <w:rPr>
      <w:rFonts w:ascii="Times New Roman" w:hAnsi="Times New Roman" w:cs="Times New Roman"/>
      <w:sz w:val="24"/>
      <w:szCs w:val="20"/>
      <w:lang w:val="en-US" w:bidi="ar-SA"/>
    </w:rPr>
  </w:style>
  <w:style w:type="character" w:customStyle="1" w:styleId="CommentTextChar">
    <w:name w:val="Comment Text Char"/>
    <w:basedOn w:val="DefaultParagraphFont"/>
    <w:link w:val="CommentText"/>
    <w:uiPriority w:val="99"/>
    <w:semiHidden/>
    <w:rsid w:val="00BC0A46"/>
    <w:rPr>
      <w:rFonts w:cs="Times New Roman"/>
      <w:sz w:val="20"/>
      <w:szCs w:val="20"/>
      <w:lang w:val="en-US"/>
    </w:rPr>
  </w:style>
  <w:style w:type="paragraph" w:styleId="CommentText">
    <w:name w:val="annotation text"/>
    <w:basedOn w:val="Normal"/>
    <w:link w:val="CommentTextChar"/>
    <w:uiPriority w:val="99"/>
    <w:semiHidden/>
    <w:unhideWhenUsed/>
    <w:rsid w:val="00BC0A46"/>
    <w:pPr>
      <w:spacing w:after="160" w:line="256" w:lineRule="auto"/>
    </w:pPr>
    <w:rPr>
      <w:rFonts w:cs="Times New Roman"/>
      <w:sz w:val="20"/>
      <w:szCs w:val="20"/>
      <w:lang w:val="en-US"/>
    </w:rPr>
  </w:style>
  <w:style w:type="character" w:customStyle="1" w:styleId="CommentTextChar1">
    <w:name w:val="Comment Text Char1"/>
    <w:basedOn w:val="DefaultParagraphFont"/>
    <w:uiPriority w:val="99"/>
    <w:semiHidden/>
    <w:rsid w:val="00BC0A46"/>
    <w:rPr>
      <w:sz w:val="20"/>
      <w:szCs w:val="18"/>
    </w:rPr>
  </w:style>
  <w:style w:type="character" w:customStyle="1" w:styleId="DateChar">
    <w:name w:val="Date Char"/>
    <w:basedOn w:val="DefaultParagraphFont"/>
    <w:link w:val="Date"/>
    <w:uiPriority w:val="99"/>
    <w:semiHidden/>
    <w:rsid w:val="00BC0A46"/>
    <w:rPr>
      <w:rFonts w:cs="Times New Roman"/>
      <w:lang w:val="en-US"/>
    </w:rPr>
  </w:style>
  <w:style w:type="paragraph" w:styleId="Date">
    <w:name w:val="Date"/>
    <w:basedOn w:val="Normal"/>
    <w:next w:val="Normal"/>
    <w:link w:val="DateChar"/>
    <w:uiPriority w:val="99"/>
    <w:semiHidden/>
    <w:unhideWhenUsed/>
    <w:rsid w:val="00BC0A46"/>
    <w:pPr>
      <w:spacing w:after="160" w:line="256" w:lineRule="auto"/>
    </w:pPr>
    <w:rPr>
      <w:rFonts w:cs="Times New Roman"/>
      <w:lang w:val="en-US"/>
    </w:rPr>
  </w:style>
  <w:style w:type="character" w:customStyle="1" w:styleId="DateChar1">
    <w:name w:val="Date Char1"/>
    <w:basedOn w:val="DefaultParagraphFont"/>
    <w:uiPriority w:val="99"/>
    <w:semiHidden/>
    <w:rsid w:val="00BC0A46"/>
    <w:rPr>
      <w:szCs w:val="20"/>
    </w:rPr>
  </w:style>
  <w:style w:type="character" w:customStyle="1" w:styleId="BodyText2Char">
    <w:name w:val="Body Text 2 Char"/>
    <w:basedOn w:val="DefaultParagraphFont"/>
    <w:link w:val="BodyText2"/>
    <w:uiPriority w:val="99"/>
    <w:semiHidden/>
    <w:rsid w:val="00BC0A46"/>
    <w:rPr>
      <w:rFonts w:cs="Times New Roman"/>
      <w:lang w:val="en-US"/>
    </w:rPr>
  </w:style>
  <w:style w:type="paragraph" w:styleId="BodyText2">
    <w:name w:val="Body Text 2"/>
    <w:basedOn w:val="Normal"/>
    <w:link w:val="BodyText2Char"/>
    <w:uiPriority w:val="99"/>
    <w:semiHidden/>
    <w:unhideWhenUsed/>
    <w:rsid w:val="00BC0A46"/>
    <w:pPr>
      <w:spacing w:after="120" w:line="480" w:lineRule="auto"/>
    </w:pPr>
    <w:rPr>
      <w:rFonts w:cs="Times New Roman"/>
      <w:lang w:val="en-US"/>
    </w:rPr>
  </w:style>
  <w:style w:type="character" w:customStyle="1" w:styleId="BodyText2Char1">
    <w:name w:val="Body Text 2 Char1"/>
    <w:basedOn w:val="DefaultParagraphFont"/>
    <w:uiPriority w:val="99"/>
    <w:semiHidden/>
    <w:rsid w:val="00BC0A46"/>
    <w:rPr>
      <w:szCs w:val="20"/>
    </w:rPr>
  </w:style>
  <w:style w:type="character" w:customStyle="1" w:styleId="CommentSubjectChar">
    <w:name w:val="Comment Subject Char"/>
    <w:basedOn w:val="CommentTextChar"/>
    <w:link w:val="CommentSubject"/>
    <w:uiPriority w:val="99"/>
    <w:semiHidden/>
    <w:rsid w:val="00BC0A46"/>
    <w:rPr>
      <w:rFonts w:cs="Times New Roman"/>
      <w:b/>
      <w:bCs/>
      <w:sz w:val="20"/>
      <w:szCs w:val="20"/>
      <w:lang w:val="en-US"/>
    </w:rPr>
  </w:style>
  <w:style w:type="paragraph" w:styleId="CommentSubject">
    <w:name w:val="annotation subject"/>
    <w:basedOn w:val="CommentText"/>
    <w:next w:val="CommentText"/>
    <w:link w:val="CommentSubjectChar"/>
    <w:uiPriority w:val="99"/>
    <w:semiHidden/>
    <w:unhideWhenUsed/>
    <w:rsid w:val="00BC0A46"/>
    <w:rPr>
      <w:b/>
      <w:bCs/>
    </w:rPr>
  </w:style>
  <w:style w:type="character" w:customStyle="1" w:styleId="CommentSubjectChar1">
    <w:name w:val="Comment Subject Char1"/>
    <w:basedOn w:val="CommentTextChar1"/>
    <w:uiPriority w:val="99"/>
    <w:semiHidden/>
    <w:rsid w:val="00BC0A46"/>
    <w:rPr>
      <w:b/>
      <w:bCs/>
      <w:sz w:val="20"/>
      <w:szCs w:val="18"/>
    </w:rPr>
  </w:style>
  <w:style w:type="table" w:styleId="MediumShading1-Accent2">
    <w:name w:val="Medium Shading 1 Accent 2"/>
    <w:basedOn w:val="TableNormal"/>
    <w:link w:val="MediumGrid2Char1"/>
    <w:uiPriority w:val="1"/>
    <w:rsid w:val="00BC0A46"/>
    <w:pPr>
      <w:spacing w:after="0" w:line="240" w:lineRule="auto"/>
    </w:pPr>
    <w:rPr>
      <w:lang w:bidi="ar-SA"/>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tblPr/>
      <w:tcPr>
        <w:shd w:val="clear" w:color="auto" w:fill="E6E6E6"/>
      </w:tcPr>
    </w:tblStylePr>
    <w:tblStylePr w:type="lastRow">
      <w:tblPr/>
      <w:tcPr>
        <w:tcBorders>
          <w:top w:val="single" w:sz="12" w:space="0" w:color="000000"/>
          <w:left w:val="nil"/>
          <w:bottom w:val="nil"/>
          <w:right w:val="nil"/>
          <w:insideH w:val="nil"/>
          <w:insideV w:val="nil"/>
        </w:tcBorders>
        <w:shd w:val="clear" w:color="auto" w:fill="FFFFFF"/>
      </w:tcPr>
    </w:tblStylePr>
    <w:tblStylePr w:type="firstCol">
      <w:tblPr/>
      <w:tcPr>
        <w:tcBorders>
          <w:top w:val="nil"/>
          <w:left w:val="nil"/>
          <w:bottom w:val="nil"/>
          <w:right w:val="nil"/>
          <w:insideH w:val="nil"/>
          <w:insideV w:val="nil"/>
        </w:tcBorders>
        <w:shd w:val="clear" w:color="auto" w:fill="FFFFFF"/>
      </w:tcPr>
    </w:tblStylePr>
    <w:tblStylePr w:type="lastCol">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character" w:customStyle="1" w:styleId="MediumGrid2Char1">
    <w:name w:val="Medium Grid 2 Char1"/>
    <w:link w:val="MediumShading1-Accent2"/>
    <w:uiPriority w:val="1"/>
    <w:locked/>
    <w:rsid w:val="00BC0A46"/>
    <w:rPr>
      <w:sz w:val="22"/>
      <w:szCs w:val="22"/>
      <w:lang w:bidi="ar-SA"/>
    </w:rPr>
  </w:style>
  <w:style w:type="paragraph" w:customStyle="1" w:styleId="ColorfulList-Accent13">
    <w:name w:val="Colorful List - Accent 13"/>
    <w:basedOn w:val="Normal"/>
    <w:uiPriority w:val="34"/>
    <w:qFormat/>
    <w:rsid w:val="00BC0A46"/>
    <w:pPr>
      <w:ind w:left="720"/>
      <w:contextualSpacing/>
    </w:pPr>
    <w:rPr>
      <w:rFonts w:cs="Times New Roman"/>
      <w:lang w:val="en-US" w:bidi="ar-SA"/>
    </w:rPr>
  </w:style>
  <w:style w:type="character" w:customStyle="1" w:styleId="contribdegrees">
    <w:name w:val="contribdegrees"/>
    <w:basedOn w:val="DefaultParagraphFont"/>
    <w:rsid w:val="00BC0A46"/>
  </w:style>
  <w:style w:type="paragraph" w:styleId="NormalWeb">
    <w:name w:val="Normal (Web)"/>
    <w:basedOn w:val="Normal"/>
    <w:uiPriority w:val="99"/>
    <w:unhideWhenUsed/>
    <w:rsid w:val="00BC0A46"/>
    <w:pPr>
      <w:spacing w:before="100" w:beforeAutospacing="1" w:after="100" w:afterAutospacing="1" w:line="240" w:lineRule="auto"/>
    </w:pPr>
    <w:rPr>
      <w:rFonts w:ascii="Times New Roman" w:eastAsia="Times New Roman" w:hAnsi="Times New Roman" w:cs="Times New Roman"/>
      <w:sz w:val="24"/>
      <w:szCs w:val="24"/>
      <w:lang w:val="en-GB" w:eastAsia="en-GB" w:bidi="ar-SA"/>
    </w:rPr>
  </w:style>
  <w:style w:type="paragraph" w:customStyle="1" w:styleId="Pa1">
    <w:name w:val="Pa1"/>
    <w:basedOn w:val="Normal"/>
    <w:next w:val="Normal"/>
    <w:uiPriority w:val="99"/>
    <w:rsid w:val="00BC0A46"/>
    <w:pPr>
      <w:autoSpaceDE w:val="0"/>
      <w:autoSpaceDN w:val="0"/>
      <w:adjustRightInd w:val="0"/>
      <w:spacing w:after="0" w:line="241" w:lineRule="atLeast"/>
    </w:pPr>
    <w:rPr>
      <w:rFonts w:ascii="Times New Roman" w:hAnsi="Times New Roman" w:cs="Times New Roman"/>
      <w:sz w:val="24"/>
      <w:szCs w:val="24"/>
      <w:lang w:val="en-US" w:bidi="ar-SA"/>
    </w:rPr>
  </w:style>
  <w:style w:type="character" w:customStyle="1" w:styleId="modulefeeddetail">
    <w:name w:val="module_feed_detail"/>
    <w:rsid w:val="00BC0A46"/>
  </w:style>
  <w:style w:type="paragraph" w:customStyle="1" w:styleId="Odrka3stupn">
    <w:name w:val="Odrážka 3. stupně"/>
    <w:basedOn w:val="Normal"/>
    <w:rsid w:val="008A0C94"/>
    <w:pPr>
      <w:numPr>
        <w:numId w:val="19"/>
      </w:numPr>
      <w:spacing w:before="120" w:after="120" w:line="240" w:lineRule="auto"/>
      <w:jc w:val="both"/>
    </w:pPr>
    <w:rPr>
      <w:rFonts w:ascii="Times New Roman" w:eastAsia="Times New Roman" w:hAnsi="Times New Roman" w:cs="Times New Roman"/>
      <w:sz w:val="24"/>
      <w:szCs w:val="20"/>
      <w:lang w:val="cs-CZ" w:eastAsia="cs-CZ" w:bidi="ar-SA"/>
    </w:rPr>
  </w:style>
  <w:style w:type="character" w:customStyle="1" w:styleId="apple-converted-space">
    <w:name w:val="apple-converted-space"/>
    <w:basedOn w:val="DefaultParagraphFont"/>
    <w:rsid w:val="008A0C94"/>
  </w:style>
  <w:style w:type="table" w:customStyle="1" w:styleId="TableGrid1">
    <w:name w:val="Table Grid1"/>
    <w:basedOn w:val="TableNormal"/>
    <w:next w:val="TableGrid"/>
    <w:uiPriority w:val="59"/>
    <w:rsid w:val="00C22E2E"/>
    <w:pPr>
      <w:spacing w:after="0" w:line="240" w:lineRule="auto"/>
    </w:pPr>
    <w:rPr>
      <w:rFonts w:asciiTheme="minorHAnsi" w:eastAsiaTheme="minorHAnsi" w:hAnsiTheme="minorHAnsi" w:cstheme="minorBidi"/>
      <w:lang w:val="en-GB"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C22E2E"/>
    <w:pPr>
      <w:spacing w:after="0" w:line="240" w:lineRule="auto"/>
    </w:pPr>
    <w:rPr>
      <w:rFonts w:asciiTheme="minorHAnsi" w:eastAsiaTheme="minorHAnsi" w:hAnsiTheme="minorHAnsi" w:cstheme="minorBidi"/>
      <w:lang w:val="en-GB"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y2iqfc">
    <w:name w:val="y2iqfc"/>
    <w:basedOn w:val="DefaultParagraphFont"/>
    <w:rsid w:val="00E66DD8"/>
  </w:style>
  <w:style w:type="table" w:styleId="PlainTable4">
    <w:name w:val="Plain Table 4"/>
    <w:basedOn w:val="TableNormal"/>
    <w:uiPriority w:val="44"/>
    <w:rsid w:val="00A37A64"/>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1816304">
      <w:bodyDiv w:val="1"/>
      <w:marLeft w:val="0"/>
      <w:marRight w:val="0"/>
      <w:marTop w:val="0"/>
      <w:marBottom w:val="0"/>
      <w:divBdr>
        <w:top w:val="none" w:sz="0" w:space="0" w:color="auto"/>
        <w:left w:val="none" w:sz="0" w:space="0" w:color="auto"/>
        <w:bottom w:val="none" w:sz="0" w:space="0" w:color="auto"/>
        <w:right w:val="none" w:sz="0" w:space="0" w:color="auto"/>
      </w:divBdr>
      <w:divsChild>
        <w:div w:id="1664625384">
          <w:marLeft w:val="0"/>
          <w:marRight w:val="0"/>
          <w:marTop w:val="0"/>
          <w:marBottom w:val="0"/>
          <w:divBdr>
            <w:top w:val="none" w:sz="0" w:space="0" w:color="auto"/>
            <w:left w:val="none" w:sz="0" w:space="0" w:color="auto"/>
            <w:bottom w:val="none" w:sz="0" w:space="0" w:color="auto"/>
            <w:right w:val="none" w:sz="0" w:space="0" w:color="auto"/>
          </w:divBdr>
          <w:divsChild>
            <w:div w:id="1467310493">
              <w:marLeft w:val="0"/>
              <w:marRight w:val="0"/>
              <w:marTop w:val="0"/>
              <w:marBottom w:val="0"/>
              <w:divBdr>
                <w:top w:val="none" w:sz="0" w:space="0" w:color="auto"/>
                <w:left w:val="none" w:sz="0" w:space="0" w:color="auto"/>
                <w:bottom w:val="none" w:sz="0" w:space="0" w:color="auto"/>
                <w:right w:val="none" w:sz="0" w:space="0" w:color="auto"/>
              </w:divBdr>
              <w:divsChild>
                <w:div w:id="979455320">
                  <w:marLeft w:val="0"/>
                  <w:marRight w:val="0"/>
                  <w:marTop w:val="0"/>
                  <w:marBottom w:val="0"/>
                  <w:divBdr>
                    <w:top w:val="none" w:sz="0" w:space="0" w:color="auto"/>
                    <w:left w:val="none" w:sz="0" w:space="0" w:color="auto"/>
                    <w:bottom w:val="none" w:sz="0" w:space="0" w:color="auto"/>
                    <w:right w:val="none" w:sz="0" w:space="0" w:color="auto"/>
                  </w:divBdr>
                  <w:divsChild>
                    <w:div w:id="1417704731">
                      <w:marLeft w:val="0"/>
                      <w:marRight w:val="0"/>
                      <w:marTop w:val="0"/>
                      <w:marBottom w:val="0"/>
                      <w:divBdr>
                        <w:top w:val="none" w:sz="0" w:space="0" w:color="auto"/>
                        <w:left w:val="none" w:sz="0" w:space="0" w:color="auto"/>
                        <w:bottom w:val="none" w:sz="0" w:space="0" w:color="auto"/>
                        <w:right w:val="none" w:sz="0" w:space="0" w:color="auto"/>
                      </w:divBdr>
                      <w:divsChild>
                        <w:div w:id="553544560">
                          <w:marLeft w:val="0"/>
                          <w:marRight w:val="0"/>
                          <w:marTop w:val="0"/>
                          <w:marBottom w:val="0"/>
                          <w:divBdr>
                            <w:top w:val="none" w:sz="0" w:space="0" w:color="auto"/>
                            <w:left w:val="none" w:sz="0" w:space="0" w:color="auto"/>
                            <w:bottom w:val="none" w:sz="0" w:space="0" w:color="auto"/>
                            <w:right w:val="none" w:sz="0" w:space="0" w:color="auto"/>
                          </w:divBdr>
                          <w:divsChild>
                            <w:div w:id="1887637606">
                              <w:marLeft w:val="0"/>
                              <w:marRight w:val="0"/>
                              <w:marTop w:val="0"/>
                              <w:marBottom w:val="0"/>
                              <w:divBdr>
                                <w:top w:val="none" w:sz="0" w:space="0" w:color="auto"/>
                                <w:left w:val="none" w:sz="0" w:space="0" w:color="auto"/>
                                <w:bottom w:val="none" w:sz="0" w:space="0" w:color="auto"/>
                                <w:right w:val="none" w:sz="0" w:space="0" w:color="auto"/>
                              </w:divBdr>
                              <w:divsChild>
                                <w:div w:id="1810703585">
                                  <w:marLeft w:val="0"/>
                                  <w:marRight w:val="0"/>
                                  <w:marTop w:val="0"/>
                                  <w:marBottom w:val="0"/>
                                  <w:divBdr>
                                    <w:top w:val="none" w:sz="0" w:space="0" w:color="auto"/>
                                    <w:left w:val="none" w:sz="0" w:space="0" w:color="auto"/>
                                    <w:bottom w:val="none" w:sz="0" w:space="0" w:color="auto"/>
                                    <w:right w:val="none" w:sz="0" w:space="0" w:color="auto"/>
                                  </w:divBdr>
                                  <w:divsChild>
                                    <w:div w:id="1070886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89310893">
      <w:bodyDiv w:val="1"/>
      <w:marLeft w:val="0"/>
      <w:marRight w:val="0"/>
      <w:marTop w:val="0"/>
      <w:marBottom w:val="0"/>
      <w:divBdr>
        <w:top w:val="none" w:sz="0" w:space="0" w:color="auto"/>
        <w:left w:val="none" w:sz="0" w:space="0" w:color="auto"/>
        <w:bottom w:val="none" w:sz="0" w:space="0" w:color="auto"/>
        <w:right w:val="none" w:sz="0" w:space="0" w:color="auto"/>
      </w:divBdr>
    </w:div>
    <w:div w:id="778111197">
      <w:bodyDiv w:val="1"/>
      <w:marLeft w:val="0"/>
      <w:marRight w:val="0"/>
      <w:marTop w:val="0"/>
      <w:marBottom w:val="0"/>
      <w:divBdr>
        <w:top w:val="none" w:sz="0" w:space="0" w:color="auto"/>
        <w:left w:val="none" w:sz="0" w:space="0" w:color="auto"/>
        <w:bottom w:val="none" w:sz="0" w:space="0" w:color="auto"/>
        <w:right w:val="none" w:sz="0" w:space="0" w:color="auto"/>
      </w:divBdr>
    </w:div>
    <w:div w:id="956453798">
      <w:bodyDiv w:val="1"/>
      <w:marLeft w:val="0"/>
      <w:marRight w:val="0"/>
      <w:marTop w:val="0"/>
      <w:marBottom w:val="0"/>
      <w:divBdr>
        <w:top w:val="none" w:sz="0" w:space="0" w:color="auto"/>
        <w:left w:val="none" w:sz="0" w:space="0" w:color="auto"/>
        <w:bottom w:val="none" w:sz="0" w:space="0" w:color="auto"/>
        <w:right w:val="none" w:sz="0" w:space="0" w:color="auto"/>
      </w:divBdr>
    </w:div>
    <w:div w:id="1554343176">
      <w:bodyDiv w:val="1"/>
      <w:marLeft w:val="0"/>
      <w:marRight w:val="0"/>
      <w:marTop w:val="0"/>
      <w:marBottom w:val="0"/>
      <w:divBdr>
        <w:top w:val="none" w:sz="0" w:space="0" w:color="auto"/>
        <w:left w:val="none" w:sz="0" w:space="0" w:color="auto"/>
        <w:bottom w:val="none" w:sz="0" w:space="0" w:color="auto"/>
        <w:right w:val="none" w:sz="0" w:space="0" w:color="auto"/>
      </w:divBdr>
    </w:div>
    <w:div w:id="1554733149">
      <w:bodyDiv w:val="1"/>
      <w:marLeft w:val="0"/>
      <w:marRight w:val="0"/>
      <w:marTop w:val="0"/>
      <w:marBottom w:val="0"/>
      <w:divBdr>
        <w:top w:val="none" w:sz="0" w:space="0" w:color="auto"/>
        <w:left w:val="none" w:sz="0" w:space="0" w:color="auto"/>
        <w:bottom w:val="none" w:sz="0" w:space="0" w:color="auto"/>
        <w:right w:val="none" w:sz="0" w:space="0" w:color="auto"/>
      </w:divBdr>
    </w:div>
    <w:div w:id="208236314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4.png"/><Relationship Id="rId18" Type="http://schemas.openxmlformats.org/officeDocument/2006/relationships/hyperlink" Target="https://doi.org/10.3390/app152312422" TargetMode="External"/><Relationship Id="rId26" Type="http://schemas.openxmlformats.org/officeDocument/2006/relationships/hyperlink" Target="https://doi.org/10.29303/jppipa.v11i5.10900" TargetMode="External"/><Relationship Id="rId39" Type="http://schemas.openxmlformats.org/officeDocument/2006/relationships/hyperlink" Target="https://doi.org/10.46328/ijemst.2510" TargetMode="External"/><Relationship Id="rId21" Type="http://schemas.openxmlformats.org/officeDocument/2006/relationships/hyperlink" Target="https://doi.org/10.1111/ijal.12824" TargetMode="External"/><Relationship Id="rId34" Type="http://schemas.openxmlformats.org/officeDocument/2006/relationships/hyperlink" Target="https://doi.org/10.61445/tofedu.v3i5.267" TargetMode="External"/><Relationship Id="rId42" Type="http://schemas.openxmlformats.org/officeDocument/2006/relationships/hyperlink" Target="https://doi.org/10.47263/JASEM.7(6)06" TargetMode="External"/><Relationship Id="rId47" Type="http://schemas.openxmlformats.org/officeDocument/2006/relationships/footer" Target="footer3.xml"/><Relationship Id="rId50" Type="http://schemas.openxmlformats.org/officeDocument/2006/relationships/theme" Target="theme/theme1.xml"/><Relationship Id="rId7" Type="http://schemas.openxmlformats.org/officeDocument/2006/relationships/footnotes" Target="footnotes.xml"/><Relationship Id="rId2" Type="http://schemas.openxmlformats.org/officeDocument/2006/relationships/customXml" Target="../customXml/item2.xml"/><Relationship Id="rId16" Type="http://schemas.openxmlformats.org/officeDocument/2006/relationships/hyperlink" Target="https://doi.org/10.26740/jpfa.v12n1.p47-61" TargetMode="External"/><Relationship Id="rId29" Type="http://schemas.openxmlformats.org/officeDocument/2006/relationships/hyperlink" Target="https://doi.org/10.1080/14703297.2025.2539776" TargetMode="External"/><Relationship Id="rId11" Type="http://schemas.openxmlformats.org/officeDocument/2006/relationships/hyperlink" Target="mailto:melti241203@gmail.com" TargetMode="External"/><Relationship Id="rId24" Type="http://schemas.openxmlformats.org/officeDocument/2006/relationships/hyperlink" Target="https://doi.org/10.15330/jpnu.12.1.151-160" TargetMode="External"/><Relationship Id="rId32" Type="http://schemas.openxmlformats.org/officeDocument/2006/relationships/hyperlink" Target="https://doi.org/10.62383/algoritma.v2i6.273" TargetMode="External"/><Relationship Id="rId37" Type="http://schemas.openxmlformats.org/officeDocument/2006/relationships/hyperlink" Target="https://doi.org/10.62945/jpgi.v2i1.720" TargetMode="External"/><Relationship Id="rId40" Type="http://schemas.openxmlformats.org/officeDocument/2006/relationships/hyperlink" Target="https://doi.org/10.29303/jppipa.v11i1.6649" TargetMode="External"/><Relationship Id="rId45"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hyperlink" Target="https://doi.org/10.31004/jele.v10i1.656" TargetMode="External"/><Relationship Id="rId23" Type="http://schemas.openxmlformats.org/officeDocument/2006/relationships/hyperlink" Target="https://doi.org/10.47233/jpdsk.v1i2.15" TargetMode="External"/><Relationship Id="rId28" Type="http://schemas.openxmlformats.org/officeDocument/2006/relationships/hyperlink" Target="https://doi.org/10.33828/sei.v35.i4.13" TargetMode="External"/><Relationship Id="rId36" Type="http://schemas.openxmlformats.org/officeDocument/2006/relationships/hyperlink" Target="https://doi.org/10.62775/edukasia.v5i2.851" TargetMode="External"/><Relationship Id="rId49" Type="http://schemas.openxmlformats.org/officeDocument/2006/relationships/glossaryDocument" Target="glossary/document.xml"/><Relationship Id="rId10" Type="http://schemas.openxmlformats.org/officeDocument/2006/relationships/image" Target="media/image2.png"/><Relationship Id="rId19" Type="http://schemas.openxmlformats.org/officeDocument/2006/relationships/hyperlink" Target="https://doi.org/10.46244/buahhati.v12i2.3452" TargetMode="External"/><Relationship Id="rId31" Type="http://schemas.openxmlformats.org/officeDocument/2006/relationships/hyperlink" Target="https://doi.org/10.56741/jscd.v1i01.666" TargetMode="External"/><Relationship Id="rId44" Type="http://schemas.openxmlformats.org/officeDocument/2006/relationships/footer" Target="footer1.xml"/><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image" Target="media/image5.png"/><Relationship Id="rId22" Type="http://schemas.openxmlformats.org/officeDocument/2006/relationships/hyperlink" Target="https://doi.org/10.35445/alishlah.v17i3.6627" TargetMode="External"/><Relationship Id="rId27" Type="http://schemas.openxmlformats.org/officeDocument/2006/relationships/hyperlink" Target="https://doi.org/10.22437/jiituj.v9i2.34373" TargetMode="External"/><Relationship Id="rId30" Type="http://schemas.openxmlformats.org/officeDocument/2006/relationships/hyperlink" Target="https://doi.org/10.26740/jrpipm.v9n2.p182-196" TargetMode="External"/><Relationship Id="rId35" Type="http://schemas.openxmlformats.org/officeDocument/2006/relationships/hyperlink" Target="https://doi.org/10.36709/jpm.v13i2.15" TargetMode="External"/><Relationship Id="rId43" Type="http://schemas.openxmlformats.org/officeDocument/2006/relationships/header" Target="header1.xml"/><Relationship Id="rId48" Type="http://schemas.openxmlformats.org/officeDocument/2006/relationships/fontTable" Target="fontTable.xml"/><Relationship Id="rId8" Type="http://schemas.openxmlformats.org/officeDocument/2006/relationships/endnotes" Target="endnotes.xml"/><Relationship Id="rId3" Type="http://schemas.openxmlformats.org/officeDocument/2006/relationships/numbering" Target="numbering.xml"/><Relationship Id="rId12" Type="http://schemas.openxmlformats.org/officeDocument/2006/relationships/image" Target="media/image3.png"/><Relationship Id="rId17" Type="http://schemas.openxmlformats.org/officeDocument/2006/relationships/hyperlink" Target="https://doi.org/10.1007/s10956-022-10010-3" TargetMode="External"/><Relationship Id="rId25" Type="http://schemas.openxmlformats.org/officeDocument/2006/relationships/hyperlink" Target="https://doi.org/10.4324/9781003443551-15" TargetMode="External"/><Relationship Id="rId33" Type="http://schemas.openxmlformats.org/officeDocument/2006/relationships/hyperlink" Target="https://doi.org/10.53894/ijirss.v6i4.2232" TargetMode="External"/><Relationship Id="rId38" Type="http://schemas.openxmlformats.org/officeDocument/2006/relationships/hyperlink" Target="https://doi.org/10.22521/edupij.2025.16.279" TargetMode="External"/><Relationship Id="rId46" Type="http://schemas.openxmlformats.org/officeDocument/2006/relationships/header" Target="header2.xml"/><Relationship Id="rId20" Type="http://schemas.openxmlformats.org/officeDocument/2006/relationships/hyperlink" Target="https://doi.org/10.46244/buahhati.v12i2.3452" TargetMode="External"/><Relationship Id="rId41" Type="http://schemas.openxmlformats.org/officeDocument/2006/relationships/hyperlink" Target="https://doi.org/10.1080/15391523.2020.1814908" TargetMode="External"/><Relationship Id="rId1" Type="http://schemas.openxmlformats.org/officeDocument/2006/relationships/customXml" Target="../customXml/item1.xml"/><Relationship Id="rId6" Type="http://schemas.openxmlformats.org/officeDocument/2006/relationships/webSettings" Target="webSettings.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2B602B37CD34451B9366ED800C8DDBB2"/>
        <w:category>
          <w:name w:val="General"/>
          <w:gallery w:val="placeholder"/>
        </w:category>
        <w:types>
          <w:type w:val="bbPlcHdr"/>
        </w:types>
        <w:behaviors>
          <w:behavior w:val="content"/>
        </w:behaviors>
        <w:guid w:val="{BB104A00-8338-43AD-97DF-1F41C40685D2}"/>
      </w:docPartPr>
      <w:docPartBody>
        <w:p w:rsidR="00B57B2D" w:rsidRDefault="004D7AB6" w:rsidP="004D7AB6">
          <w:pPr>
            <w:pStyle w:val="2B602B37CD34451B9366ED800C8DDBB2"/>
          </w:pPr>
          <w:r w:rsidRPr="00E55641">
            <w:rPr>
              <w:rStyle w:val="PlaceholderText"/>
            </w:rPr>
            <w:t>Click or tap here to enter text.</w:t>
          </w:r>
        </w:p>
      </w:docPartBody>
    </w:docPart>
    <w:docPart>
      <w:docPartPr>
        <w:name w:val="FFAA163F340F4E32A9AF0E55E74CC5B1"/>
        <w:category>
          <w:name w:val="General"/>
          <w:gallery w:val="placeholder"/>
        </w:category>
        <w:types>
          <w:type w:val="bbPlcHdr"/>
        </w:types>
        <w:behaviors>
          <w:behavior w:val="content"/>
        </w:behaviors>
        <w:guid w:val="{40281744-3EA7-4361-B27C-A5B8996F0781}"/>
      </w:docPartPr>
      <w:docPartBody>
        <w:p w:rsidR="00B57B2D" w:rsidRDefault="004D7AB6" w:rsidP="004D7AB6">
          <w:pPr>
            <w:pStyle w:val="FFAA163F340F4E32A9AF0E55E74CC5B1"/>
          </w:pPr>
          <w:r w:rsidRPr="00E53B5B">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Bahnschrift">
    <w:panose1 w:val="020B0502040204020203"/>
    <w:charset w:val="00"/>
    <w:family w:val="swiss"/>
    <w:pitch w:val="variable"/>
    <w:sig w:usb0="A00002C7" w:usb1="00000002" w:usb2="00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4A24"/>
    <w:rsid w:val="001C67EC"/>
    <w:rsid w:val="00214B2E"/>
    <w:rsid w:val="00216B40"/>
    <w:rsid w:val="0032543D"/>
    <w:rsid w:val="004A4A24"/>
    <w:rsid w:val="004D7AB6"/>
    <w:rsid w:val="004F44C3"/>
    <w:rsid w:val="00556FE2"/>
    <w:rsid w:val="007523DA"/>
    <w:rsid w:val="00A80B97"/>
    <w:rsid w:val="00B57B2D"/>
    <w:rsid w:val="00D0330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4D7AB6"/>
    <w:rPr>
      <w:color w:val="666666"/>
    </w:rPr>
  </w:style>
  <w:style w:type="paragraph" w:customStyle="1" w:styleId="2B602B37CD34451B9366ED800C8DDBB2">
    <w:name w:val="2B602B37CD34451B9366ED800C8DDBB2"/>
    <w:rsid w:val="004D7AB6"/>
  </w:style>
  <w:style w:type="paragraph" w:customStyle="1" w:styleId="FFAA163F340F4E32A9AF0E55E74CC5B1">
    <w:name w:val="FFAA163F340F4E32A9AF0E55E74CC5B1"/>
    <w:rsid w:val="004D7AB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izyoLZuWiUtU1M1jOd+yorssAww==">AMUW2mVUFwe/uevRQp0lDSr7cU+SDK2xSvGHRqeePCh053gRBuZL+/5jAzTetb7HMEg1vCsk643C5TGsr+GqkcxIKP0dfSM1DoVZCE/bD0wJM7jXjjKM7blsb1wXPJEB2aiKpwvFY1+o</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69A1EA0A-6614-4BD3-A4F2-951BF098B4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537</TotalTime>
  <Pages>1</Pages>
  <Words>24987</Words>
  <Characters>142431</Characters>
  <Application>Microsoft Office Word</Application>
  <DocSecurity>0</DocSecurity>
  <Lines>1186</Lines>
  <Paragraphs>334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167084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Mujib Hasib</dc:creator>
  <cp:lastModifiedBy>Reviewer</cp:lastModifiedBy>
  <cp:revision>90</cp:revision>
  <cp:lastPrinted>2026-06-19T08:36:00Z</cp:lastPrinted>
  <dcterms:created xsi:type="dcterms:W3CDTF">2026-05-29T07:39:00Z</dcterms:created>
  <dcterms:modified xsi:type="dcterms:W3CDTF">2026-06-19T08:36:00Z</dcterms:modified>
</cp:coreProperties>
</file>